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ADD" w:rsidRPr="00CE7EE5" w:rsidRDefault="00CA6ADD" w:rsidP="00CE7EE5">
      <w:pPr>
        <w:spacing w:after="0" w:line="360" w:lineRule="auto"/>
        <w:jc w:val="center"/>
        <w:rPr>
          <w:rFonts w:ascii="Arial" w:hAnsi="Arial" w:cs="Arial"/>
          <w:b/>
          <w:sz w:val="20"/>
          <w:szCs w:val="20"/>
        </w:rPr>
      </w:pPr>
    </w:p>
    <w:p w:rsidR="00CA6ADD" w:rsidRPr="00CE7EE5" w:rsidRDefault="00CA6ADD" w:rsidP="00CE7EE5">
      <w:pPr>
        <w:spacing w:after="0" w:line="360" w:lineRule="auto"/>
        <w:jc w:val="center"/>
        <w:rPr>
          <w:rFonts w:ascii="Arial" w:hAnsi="Arial" w:cs="Arial"/>
          <w:b/>
          <w:sz w:val="20"/>
          <w:szCs w:val="20"/>
        </w:rPr>
      </w:pPr>
      <w:r w:rsidRPr="00CE7EE5">
        <w:rPr>
          <w:rFonts w:ascii="Arial" w:hAnsi="Arial" w:cs="Arial"/>
          <w:b/>
          <w:sz w:val="20"/>
          <w:szCs w:val="20"/>
        </w:rPr>
        <w:t xml:space="preserve">Oświadczenie o stosowaniu ładu korporacyjnego - zgodnie z § 91 ust. 5 pkt 4  Rozporządzenia Ministra Finansów z dnia 19 lutego 2009 r. </w:t>
      </w:r>
      <w:r w:rsidRPr="00CE7EE5">
        <w:rPr>
          <w:rFonts w:ascii="Arial" w:hAnsi="Arial" w:cs="Arial"/>
          <w:b/>
          <w:bCs/>
          <w:sz w:val="20"/>
          <w:szCs w:val="20"/>
        </w:rPr>
        <w:t>w sprawie informacji bieżących i okresowych przekazywanych przez emitentów papierów wartościowych oraz warunków uznawania za równoważne informacji wymaganych przepisami prawa państwa niebędącego państwem członkowskim</w:t>
      </w:r>
    </w:p>
    <w:p w:rsidR="00CA6ADD" w:rsidRPr="00CE7EE5" w:rsidRDefault="00CA6ADD" w:rsidP="00CE7EE5">
      <w:pPr>
        <w:tabs>
          <w:tab w:val="right" w:pos="284"/>
          <w:tab w:val="left" w:pos="408"/>
        </w:tabs>
        <w:autoSpaceDE w:val="0"/>
        <w:autoSpaceDN w:val="0"/>
        <w:adjustRightInd w:val="0"/>
        <w:spacing w:after="0" w:line="360" w:lineRule="auto"/>
        <w:ind w:left="408" w:hanging="408"/>
        <w:jc w:val="both"/>
        <w:rPr>
          <w:rFonts w:ascii="Arial" w:hAnsi="Arial" w:cs="Arial"/>
          <w:sz w:val="20"/>
          <w:szCs w:val="20"/>
        </w:rPr>
      </w:pPr>
    </w:p>
    <w:p w:rsidR="009A6D88" w:rsidRPr="00CE7EE5" w:rsidRDefault="00C601B9" w:rsidP="00CE7EE5">
      <w:pPr>
        <w:pStyle w:val="Akapitzlist"/>
        <w:numPr>
          <w:ilvl w:val="0"/>
          <w:numId w:val="1"/>
        </w:numPr>
        <w:tabs>
          <w:tab w:val="right" w:pos="0"/>
        </w:tabs>
        <w:autoSpaceDE w:val="0"/>
        <w:autoSpaceDN w:val="0"/>
        <w:adjustRightInd w:val="0"/>
        <w:spacing w:after="0" w:line="360" w:lineRule="auto"/>
        <w:ind w:left="567" w:hanging="567"/>
        <w:jc w:val="both"/>
        <w:rPr>
          <w:rFonts w:ascii="Arial" w:hAnsi="Arial" w:cs="Arial"/>
          <w:b/>
          <w:sz w:val="20"/>
          <w:szCs w:val="20"/>
        </w:rPr>
      </w:pPr>
      <w:r w:rsidRPr="00CE7EE5">
        <w:rPr>
          <w:rFonts w:ascii="Arial" w:hAnsi="Arial" w:cs="Arial"/>
          <w:b/>
          <w:sz w:val="20"/>
          <w:szCs w:val="20"/>
        </w:rPr>
        <w:t>W</w:t>
      </w:r>
      <w:r w:rsidR="009A6D88" w:rsidRPr="00CE7EE5">
        <w:rPr>
          <w:rFonts w:ascii="Arial" w:hAnsi="Arial" w:cs="Arial"/>
          <w:b/>
          <w:sz w:val="20"/>
          <w:szCs w:val="20"/>
        </w:rPr>
        <w:t>skazanie</w:t>
      </w:r>
      <w:r w:rsidRPr="00CE7EE5">
        <w:rPr>
          <w:rFonts w:ascii="Arial" w:hAnsi="Arial" w:cs="Arial"/>
          <w:b/>
          <w:sz w:val="20"/>
          <w:szCs w:val="20"/>
        </w:rPr>
        <w:t xml:space="preserve"> </w:t>
      </w:r>
      <w:r w:rsidR="009A6D88" w:rsidRPr="00CE7EE5">
        <w:rPr>
          <w:rFonts w:ascii="Arial" w:hAnsi="Arial" w:cs="Arial"/>
          <w:b/>
          <w:sz w:val="20"/>
          <w:szCs w:val="20"/>
        </w:rPr>
        <w:t>zbioru zasad ładu korporacyjnego</w:t>
      </w:r>
      <w:r w:rsidR="00C12DBE" w:rsidRPr="00CE7EE5">
        <w:rPr>
          <w:rFonts w:ascii="Arial" w:hAnsi="Arial" w:cs="Arial"/>
          <w:b/>
          <w:sz w:val="20"/>
          <w:szCs w:val="20"/>
        </w:rPr>
        <w:t xml:space="preserve"> przyjętego przez </w:t>
      </w:r>
      <w:r w:rsidR="00425753">
        <w:rPr>
          <w:rFonts w:ascii="Arial" w:hAnsi="Arial" w:cs="Arial"/>
          <w:b/>
          <w:sz w:val="20"/>
          <w:szCs w:val="20"/>
        </w:rPr>
        <w:t xml:space="preserve">Black Lion </w:t>
      </w:r>
      <w:r w:rsidR="00C12DBE" w:rsidRPr="00CE7EE5">
        <w:rPr>
          <w:rFonts w:ascii="Arial" w:hAnsi="Arial" w:cs="Arial"/>
          <w:b/>
          <w:sz w:val="20"/>
          <w:szCs w:val="20"/>
        </w:rPr>
        <w:t>Narodowy Fundusz Inwestycyjny Spółka Akcyjna:</w:t>
      </w:r>
    </w:p>
    <w:p w:rsidR="00C12DBE" w:rsidRPr="00282437" w:rsidRDefault="006361E3" w:rsidP="00CE7EE5">
      <w:pPr>
        <w:tabs>
          <w:tab w:val="right" w:pos="0"/>
        </w:tabs>
        <w:autoSpaceDE w:val="0"/>
        <w:autoSpaceDN w:val="0"/>
        <w:adjustRightInd w:val="0"/>
        <w:spacing w:after="0" w:line="360" w:lineRule="auto"/>
        <w:jc w:val="both"/>
        <w:rPr>
          <w:rFonts w:ascii="Arial" w:eastAsia="CenturyGothic" w:hAnsi="Arial" w:cs="Arial"/>
          <w:color w:val="000000"/>
          <w:sz w:val="20"/>
          <w:szCs w:val="20"/>
        </w:rPr>
      </w:pPr>
      <w:r>
        <w:rPr>
          <w:rFonts w:ascii="Arial" w:hAnsi="Arial" w:cs="Arial"/>
          <w:sz w:val="20"/>
          <w:szCs w:val="20"/>
        </w:rPr>
        <w:t xml:space="preserve">Black Lion </w:t>
      </w:r>
      <w:r w:rsidR="00C12DBE" w:rsidRPr="00CE7EE5">
        <w:rPr>
          <w:rFonts w:ascii="Arial" w:hAnsi="Arial" w:cs="Arial"/>
          <w:sz w:val="20"/>
          <w:szCs w:val="20"/>
        </w:rPr>
        <w:t>Narodowy Fundusz Inwestycyjny Spółka Akcyjna z siedzibą w  Warszawie (dalej „Fundusz”) przyj</w:t>
      </w:r>
      <w:r>
        <w:rPr>
          <w:rFonts w:ascii="Arial" w:hAnsi="Arial" w:cs="Arial"/>
          <w:sz w:val="20"/>
          <w:szCs w:val="20"/>
        </w:rPr>
        <w:t>ął</w:t>
      </w:r>
      <w:r w:rsidR="00C12DBE" w:rsidRPr="00CE7EE5">
        <w:rPr>
          <w:rFonts w:ascii="Arial" w:hAnsi="Arial" w:cs="Arial"/>
          <w:sz w:val="20"/>
          <w:szCs w:val="20"/>
        </w:rPr>
        <w:t xml:space="preserve"> do stosowania zasady ładu korporacyjnego opublikowane w dokumencie </w:t>
      </w:r>
      <w:r w:rsidR="00282437">
        <w:rPr>
          <w:rFonts w:ascii="Arial" w:hAnsi="Arial" w:cs="Arial"/>
          <w:sz w:val="20"/>
          <w:szCs w:val="20"/>
        </w:rPr>
        <w:t>„</w:t>
      </w:r>
      <w:r w:rsidR="00433787" w:rsidRPr="00CE7EE5">
        <w:rPr>
          <w:rFonts w:ascii="Arial" w:eastAsia="CenturyGothic" w:hAnsi="Arial" w:cs="Arial"/>
          <w:color w:val="000000"/>
          <w:sz w:val="20"/>
          <w:szCs w:val="20"/>
        </w:rPr>
        <w:t>Dobre Praktyki Spółek Notowanych na GPW” stanowiącym załącznik do Uchwały nr 12/1170/2007 Rady Giełdy z dnia 4 lipca 2007 r.</w:t>
      </w:r>
      <w:r w:rsidR="00BC359C" w:rsidRPr="00CE7EE5">
        <w:rPr>
          <w:rFonts w:ascii="Arial" w:eastAsia="CenturyGothic" w:hAnsi="Arial" w:cs="Arial"/>
          <w:color w:val="000000"/>
          <w:sz w:val="20"/>
          <w:szCs w:val="20"/>
        </w:rPr>
        <w:t xml:space="preserve">, </w:t>
      </w:r>
      <w:r>
        <w:rPr>
          <w:rFonts w:ascii="Arial" w:eastAsia="CenturyGothic" w:hAnsi="Arial" w:cs="Arial"/>
          <w:color w:val="000000"/>
          <w:sz w:val="20"/>
          <w:szCs w:val="20"/>
        </w:rPr>
        <w:t xml:space="preserve">zmienionym </w:t>
      </w:r>
      <w:r w:rsidR="00282437" w:rsidRPr="00282437">
        <w:rPr>
          <w:rFonts w:ascii="Arial" w:eastAsia="CenturyGothic" w:hAnsi="Arial" w:cs="Arial"/>
          <w:color w:val="000000"/>
          <w:sz w:val="20"/>
          <w:szCs w:val="20"/>
        </w:rPr>
        <w:t>Uchwałą Nr 17/1249/2010 Rady Giełdy z dnia 19 maja 2010 r.</w:t>
      </w:r>
      <w:r w:rsidR="00282437">
        <w:rPr>
          <w:rFonts w:ascii="Arial" w:eastAsia="CenturyGothic" w:hAnsi="Arial" w:cs="Arial"/>
          <w:color w:val="000000"/>
          <w:sz w:val="20"/>
          <w:szCs w:val="20"/>
        </w:rPr>
        <w:t>,</w:t>
      </w:r>
      <w:r w:rsidR="00282437" w:rsidRPr="00CE7EE5">
        <w:rPr>
          <w:rFonts w:ascii="Arial" w:eastAsia="CenturyGothic" w:hAnsi="Arial" w:cs="Arial"/>
          <w:color w:val="000000"/>
          <w:sz w:val="20"/>
          <w:szCs w:val="20"/>
        </w:rPr>
        <w:t xml:space="preserve"> </w:t>
      </w:r>
      <w:r w:rsidR="00BC359C" w:rsidRPr="00CE7EE5">
        <w:rPr>
          <w:rFonts w:ascii="Arial" w:eastAsia="CenturyGothic" w:hAnsi="Arial" w:cs="Arial"/>
          <w:color w:val="000000"/>
          <w:sz w:val="20"/>
          <w:szCs w:val="20"/>
        </w:rPr>
        <w:t>którego pełne brzmienie zamieszczone jest na stronie www.corp-gov.gpw.pl</w:t>
      </w:r>
      <w:r w:rsidR="008A72C5">
        <w:rPr>
          <w:rFonts w:ascii="Arial" w:eastAsia="CenturyGothic" w:hAnsi="Arial" w:cs="Arial"/>
          <w:color w:val="000000"/>
          <w:sz w:val="20"/>
          <w:szCs w:val="20"/>
        </w:rPr>
        <w:t>.</w:t>
      </w:r>
    </w:p>
    <w:p w:rsidR="00C12DBE" w:rsidRPr="00CE7EE5" w:rsidRDefault="00C12DBE" w:rsidP="00CE7EE5">
      <w:pPr>
        <w:tabs>
          <w:tab w:val="right" w:pos="0"/>
        </w:tabs>
        <w:autoSpaceDE w:val="0"/>
        <w:autoSpaceDN w:val="0"/>
        <w:adjustRightInd w:val="0"/>
        <w:spacing w:after="0" w:line="360" w:lineRule="auto"/>
        <w:jc w:val="both"/>
        <w:rPr>
          <w:rFonts w:ascii="Arial" w:hAnsi="Arial" w:cs="Arial"/>
          <w:sz w:val="20"/>
          <w:szCs w:val="20"/>
        </w:rPr>
      </w:pPr>
    </w:p>
    <w:p w:rsidR="00C12DBE" w:rsidRPr="00CE7EE5" w:rsidRDefault="00BC359C" w:rsidP="00CE7EE5">
      <w:pPr>
        <w:pStyle w:val="Akapitzlist"/>
        <w:numPr>
          <w:ilvl w:val="0"/>
          <w:numId w:val="1"/>
        </w:numPr>
        <w:tabs>
          <w:tab w:val="right" w:pos="0"/>
        </w:tabs>
        <w:autoSpaceDE w:val="0"/>
        <w:autoSpaceDN w:val="0"/>
        <w:adjustRightInd w:val="0"/>
        <w:spacing w:after="0" w:line="360" w:lineRule="auto"/>
        <w:ind w:left="567" w:hanging="567"/>
        <w:jc w:val="both"/>
        <w:rPr>
          <w:rFonts w:ascii="Arial" w:hAnsi="Arial" w:cs="Arial"/>
          <w:b/>
          <w:sz w:val="20"/>
          <w:szCs w:val="20"/>
        </w:rPr>
      </w:pPr>
      <w:r w:rsidRPr="00CE7EE5">
        <w:rPr>
          <w:rFonts w:ascii="Arial" w:hAnsi="Arial" w:cs="Arial"/>
          <w:b/>
          <w:sz w:val="20"/>
          <w:szCs w:val="20"/>
        </w:rPr>
        <w:t>Wskazanie przypadków odstąpienia od postanowień zbioru zasad ładu korporacyjnego</w:t>
      </w:r>
    </w:p>
    <w:p w:rsidR="009A6D88" w:rsidRPr="00CE7EE5" w:rsidRDefault="009A6D88" w:rsidP="00CE7EE5">
      <w:pPr>
        <w:tabs>
          <w:tab w:val="right" w:pos="0"/>
        </w:tabs>
        <w:autoSpaceDE w:val="0"/>
        <w:autoSpaceDN w:val="0"/>
        <w:adjustRightInd w:val="0"/>
        <w:spacing w:after="0" w:line="360" w:lineRule="auto"/>
        <w:jc w:val="both"/>
        <w:rPr>
          <w:rFonts w:ascii="Arial" w:hAnsi="Arial" w:cs="Arial"/>
          <w:sz w:val="20"/>
          <w:szCs w:val="20"/>
        </w:rPr>
      </w:pPr>
    </w:p>
    <w:p w:rsidR="00BC359C" w:rsidRPr="00CE7EE5" w:rsidRDefault="00BC359C" w:rsidP="00CE7EE5">
      <w:pPr>
        <w:pStyle w:val="NormalnyWeb"/>
        <w:spacing w:before="0" w:beforeAutospacing="0" w:after="0" w:afterAutospacing="0" w:line="360" w:lineRule="auto"/>
        <w:jc w:val="both"/>
        <w:rPr>
          <w:rFonts w:ascii="Arial" w:eastAsia="CenturyGothic" w:hAnsi="Arial" w:cs="Arial"/>
          <w:color w:val="000000"/>
          <w:sz w:val="20"/>
          <w:szCs w:val="20"/>
        </w:rPr>
      </w:pPr>
      <w:r w:rsidRPr="00CE7EE5">
        <w:rPr>
          <w:rFonts w:ascii="Arial" w:eastAsia="CenturyGothic" w:hAnsi="Arial" w:cs="Arial"/>
          <w:color w:val="000000"/>
          <w:sz w:val="20"/>
          <w:szCs w:val="20"/>
        </w:rPr>
        <w:t xml:space="preserve">W </w:t>
      </w:r>
      <w:r w:rsidR="00257450" w:rsidRPr="00CE7EE5">
        <w:rPr>
          <w:rFonts w:ascii="Arial" w:eastAsia="CenturyGothic" w:hAnsi="Arial" w:cs="Arial"/>
          <w:color w:val="000000"/>
          <w:sz w:val="20"/>
          <w:szCs w:val="20"/>
        </w:rPr>
        <w:t xml:space="preserve">roku </w:t>
      </w:r>
      <w:r w:rsidRPr="00CE7EE5">
        <w:rPr>
          <w:rFonts w:ascii="Arial" w:eastAsia="CenturyGothic" w:hAnsi="Arial" w:cs="Arial"/>
          <w:color w:val="000000"/>
          <w:sz w:val="20"/>
          <w:szCs w:val="20"/>
        </w:rPr>
        <w:t>20</w:t>
      </w:r>
      <w:r w:rsidR="00282437">
        <w:rPr>
          <w:rFonts w:ascii="Arial" w:eastAsia="CenturyGothic" w:hAnsi="Arial" w:cs="Arial"/>
          <w:color w:val="000000"/>
          <w:sz w:val="20"/>
          <w:szCs w:val="20"/>
        </w:rPr>
        <w:t>10</w:t>
      </w:r>
      <w:r w:rsidRPr="00CE7EE5">
        <w:rPr>
          <w:rFonts w:ascii="Arial" w:eastAsia="CenturyGothic" w:hAnsi="Arial" w:cs="Arial"/>
          <w:color w:val="000000"/>
          <w:sz w:val="20"/>
          <w:szCs w:val="20"/>
        </w:rPr>
        <w:t xml:space="preserve"> r. </w:t>
      </w:r>
      <w:r w:rsidRPr="00CE7EE5">
        <w:rPr>
          <w:rFonts w:ascii="Arial" w:hAnsi="Arial" w:cs="Arial"/>
          <w:sz w:val="20"/>
          <w:szCs w:val="20"/>
        </w:rPr>
        <w:t>Fundusz</w:t>
      </w:r>
      <w:r w:rsidRPr="00CE7EE5">
        <w:rPr>
          <w:rFonts w:ascii="Arial" w:eastAsia="CenturyGothic" w:hAnsi="Arial" w:cs="Arial"/>
          <w:color w:val="000000"/>
          <w:sz w:val="20"/>
          <w:szCs w:val="20"/>
        </w:rPr>
        <w:t xml:space="preserve"> </w:t>
      </w:r>
      <w:r w:rsidR="00257450" w:rsidRPr="00CE7EE5">
        <w:rPr>
          <w:rFonts w:ascii="Arial" w:eastAsia="CenturyGothic" w:hAnsi="Arial" w:cs="Arial"/>
          <w:color w:val="000000"/>
          <w:sz w:val="20"/>
          <w:szCs w:val="20"/>
        </w:rPr>
        <w:t>odstąpił od stosowania następujących zasad określonych w dokumencie „Dobre Praktyki Spółek Notowanych na GPW”</w:t>
      </w:r>
      <w:r w:rsidRPr="00CE7EE5">
        <w:rPr>
          <w:rFonts w:ascii="Arial" w:eastAsia="CenturyGothic" w:hAnsi="Arial" w:cs="Arial"/>
          <w:color w:val="000000"/>
          <w:sz w:val="20"/>
          <w:szCs w:val="20"/>
        </w:rPr>
        <w:t>:</w:t>
      </w:r>
    </w:p>
    <w:p w:rsidR="00BC359C" w:rsidRPr="00CE7EE5" w:rsidRDefault="00BC359C" w:rsidP="00CE7EE5">
      <w:pPr>
        <w:autoSpaceDE w:val="0"/>
        <w:autoSpaceDN w:val="0"/>
        <w:adjustRightInd w:val="0"/>
        <w:spacing w:after="0" w:line="360" w:lineRule="auto"/>
        <w:jc w:val="both"/>
        <w:rPr>
          <w:rFonts w:ascii="Arial" w:eastAsia="CenturyGothic" w:hAnsi="Arial" w:cs="Arial"/>
          <w:color w:val="000000"/>
          <w:sz w:val="20"/>
          <w:szCs w:val="20"/>
        </w:rPr>
      </w:pPr>
      <w:r w:rsidRPr="00CE7EE5">
        <w:rPr>
          <w:rFonts w:ascii="Arial" w:eastAsia="CenturyGothic" w:hAnsi="Arial" w:cs="Arial"/>
          <w:color w:val="000000"/>
          <w:sz w:val="20"/>
          <w:szCs w:val="20"/>
        </w:rPr>
        <w:t>Cz. II – Dobre praktyki stosowane przez zarządy spółek giełdowych</w:t>
      </w:r>
    </w:p>
    <w:p w:rsidR="003A0FCD" w:rsidRPr="00CE7EE5" w:rsidRDefault="00BC359C" w:rsidP="00CE7EE5">
      <w:pPr>
        <w:autoSpaceDE w:val="0"/>
        <w:autoSpaceDN w:val="0"/>
        <w:adjustRightInd w:val="0"/>
        <w:spacing w:after="0" w:line="360" w:lineRule="auto"/>
        <w:jc w:val="both"/>
        <w:rPr>
          <w:rFonts w:ascii="Arial" w:eastAsia="CenturyGothic" w:hAnsi="Arial" w:cs="Arial"/>
          <w:color w:val="000000"/>
          <w:sz w:val="20"/>
          <w:szCs w:val="20"/>
        </w:rPr>
      </w:pPr>
      <w:r w:rsidRPr="00CE7EE5">
        <w:rPr>
          <w:rFonts w:ascii="Arial" w:eastAsia="CenturyGothic" w:hAnsi="Arial" w:cs="Arial"/>
          <w:color w:val="000000"/>
          <w:sz w:val="20"/>
          <w:szCs w:val="20"/>
        </w:rPr>
        <w:t xml:space="preserve">Zasada nr 1. </w:t>
      </w:r>
    </w:p>
    <w:p w:rsidR="00BC359C" w:rsidRPr="00CE7EE5" w:rsidRDefault="00BC359C" w:rsidP="00CE7EE5">
      <w:pPr>
        <w:autoSpaceDE w:val="0"/>
        <w:autoSpaceDN w:val="0"/>
        <w:adjustRightInd w:val="0"/>
        <w:spacing w:after="0" w:line="360" w:lineRule="auto"/>
        <w:jc w:val="both"/>
        <w:rPr>
          <w:rFonts w:ascii="Arial" w:eastAsia="CenturyGothic" w:hAnsi="Arial" w:cs="Arial"/>
          <w:color w:val="000000"/>
          <w:sz w:val="20"/>
          <w:szCs w:val="20"/>
        </w:rPr>
      </w:pPr>
      <w:r w:rsidRPr="00CE7EE5">
        <w:rPr>
          <w:rFonts w:ascii="Arial" w:eastAsia="CenturyGothic" w:hAnsi="Arial" w:cs="Arial"/>
          <w:color w:val="000000"/>
          <w:sz w:val="20"/>
          <w:szCs w:val="20"/>
        </w:rPr>
        <w:t>„</w:t>
      </w:r>
      <w:r w:rsidRPr="00CE7EE5">
        <w:rPr>
          <w:rFonts w:ascii="Arial" w:eastAsia="CenturyGothic" w:hAnsi="Arial" w:cs="Arial"/>
          <w:i/>
          <w:color w:val="000000"/>
          <w:sz w:val="20"/>
          <w:szCs w:val="20"/>
        </w:rPr>
        <w:t>Spółka prowadzi korporacyjną stronę internetową i zamieszcza w niej</w:t>
      </w:r>
      <w:r w:rsidRPr="00CE7EE5">
        <w:rPr>
          <w:rFonts w:ascii="Arial" w:eastAsia="CenturyGothic" w:hAnsi="Arial" w:cs="Arial"/>
          <w:color w:val="000000"/>
          <w:sz w:val="20"/>
          <w:szCs w:val="20"/>
        </w:rPr>
        <w:t>:”</w:t>
      </w:r>
    </w:p>
    <w:p w:rsidR="00BC359C" w:rsidRPr="00CE7EE5" w:rsidRDefault="00BC359C" w:rsidP="00CE7EE5">
      <w:pPr>
        <w:spacing w:after="0" w:line="360" w:lineRule="auto"/>
        <w:jc w:val="both"/>
        <w:rPr>
          <w:rFonts w:ascii="Arial" w:hAnsi="Arial" w:cs="Arial"/>
          <w:sz w:val="20"/>
          <w:szCs w:val="20"/>
        </w:rPr>
      </w:pPr>
      <w:r w:rsidRPr="00CE7EE5">
        <w:rPr>
          <w:rFonts w:ascii="Arial" w:hAnsi="Arial" w:cs="Arial"/>
          <w:sz w:val="20"/>
          <w:szCs w:val="20"/>
        </w:rPr>
        <w:t>pkt 6: „</w:t>
      </w:r>
      <w:r w:rsidRPr="00CE7EE5">
        <w:rPr>
          <w:rFonts w:ascii="Arial" w:hAnsi="Arial" w:cs="Arial"/>
          <w:i/>
          <w:sz w:val="20"/>
          <w:szCs w:val="20"/>
        </w:rPr>
        <w:t>roczne sprawozdania z działalności rady nadzorczej, z uwzględnieniem pracy jej komitetów wraz z przekazaną przez radę nadzorczą oceną pracy rady nadzorczej oraz systemu kontroli wewnętrznej i systemu, kontroli wewnętrznej i systemu zarządzana ryzykiem istotnym dla spółki</w:t>
      </w:r>
      <w:r w:rsidRPr="00CE7EE5">
        <w:rPr>
          <w:rFonts w:ascii="Arial" w:hAnsi="Arial" w:cs="Arial"/>
          <w:sz w:val="20"/>
          <w:szCs w:val="20"/>
        </w:rPr>
        <w:t>”</w:t>
      </w:r>
    </w:p>
    <w:p w:rsidR="00BC359C" w:rsidRPr="00CE7EE5" w:rsidRDefault="00BC359C" w:rsidP="00CE7EE5">
      <w:pPr>
        <w:spacing w:after="0" w:line="360" w:lineRule="auto"/>
        <w:jc w:val="both"/>
        <w:rPr>
          <w:rFonts w:ascii="Arial" w:hAnsi="Arial" w:cs="Arial"/>
          <w:sz w:val="20"/>
          <w:szCs w:val="20"/>
        </w:rPr>
      </w:pPr>
      <w:r w:rsidRPr="00CE7EE5">
        <w:rPr>
          <w:rFonts w:ascii="Arial" w:hAnsi="Arial" w:cs="Arial"/>
          <w:sz w:val="20"/>
          <w:szCs w:val="20"/>
        </w:rPr>
        <w:t>Spółka nie stosowała tej zasady w roku 20</w:t>
      </w:r>
      <w:r w:rsidR="00696CD7">
        <w:rPr>
          <w:rFonts w:ascii="Arial" w:hAnsi="Arial" w:cs="Arial"/>
          <w:sz w:val="20"/>
          <w:szCs w:val="20"/>
        </w:rPr>
        <w:t>10</w:t>
      </w:r>
      <w:r w:rsidRPr="00CE7EE5">
        <w:rPr>
          <w:rFonts w:ascii="Arial" w:hAnsi="Arial" w:cs="Arial"/>
          <w:sz w:val="20"/>
          <w:szCs w:val="20"/>
        </w:rPr>
        <w:t xml:space="preserve"> w zakresie uwzględniania w sprawozdaniu Rady Nadzorczej pracy komitetów z uwagi, na fakt nie wyodrębnienia ich w strukturze Rady Nadzorczej. Spółka nie zmieniła swojej praktyki w tym zakresie w stosunku do stanu w roku 20</w:t>
      </w:r>
      <w:r w:rsidR="00696CD7">
        <w:rPr>
          <w:rFonts w:ascii="Arial" w:hAnsi="Arial" w:cs="Arial"/>
          <w:sz w:val="20"/>
          <w:szCs w:val="20"/>
        </w:rPr>
        <w:t>09</w:t>
      </w:r>
      <w:r w:rsidRPr="00CE7EE5">
        <w:rPr>
          <w:rFonts w:ascii="Arial" w:hAnsi="Arial" w:cs="Arial"/>
          <w:sz w:val="20"/>
          <w:szCs w:val="20"/>
        </w:rPr>
        <w:t>.</w:t>
      </w:r>
    </w:p>
    <w:p w:rsidR="003A0FCD" w:rsidRPr="00CE7EE5" w:rsidRDefault="003A0FCD" w:rsidP="00CE7EE5">
      <w:pPr>
        <w:spacing w:after="0" w:line="360" w:lineRule="auto"/>
        <w:jc w:val="both"/>
        <w:rPr>
          <w:rFonts w:ascii="Arial" w:hAnsi="Arial" w:cs="Arial"/>
          <w:sz w:val="20"/>
          <w:szCs w:val="20"/>
        </w:rPr>
      </w:pPr>
      <w:r w:rsidRPr="00CE7EE5">
        <w:rPr>
          <w:rFonts w:ascii="Arial" w:hAnsi="Arial" w:cs="Arial"/>
          <w:sz w:val="20"/>
          <w:szCs w:val="20"/>
        </w:rPr>
        <w:t xml:space="preserve">Zasada nr 2 </w:t>
      </w:r>
    </w:p>
    <w:p w:rsidR="003A0FCD" w:rsidRPr="00CE7EE5" w:rsidRDefault="003A0FCD" w:rsidP="00CE7EE5">
      <w:pPr>
        <w:autoSpaceDE w:val="0"/>
        <w:autoSpaceDN w:val="0"/>
        <w:adjustRightInd w:val="0"/>
        <w:spacing w:after="0" w:line="360" w:lineRule="auto"/>
        <w:jc w:val="both"/>
        <w:rPr>
          <w:rFonts w:ascii="Arial" w:hAnsi="Arial" w:cs="Arial"/>
          <w:i/>
          <w:color w:val="000000"/>
          <w:sz w:val="20"/>
          <w:szCs w:val="20"/>
        </w:rPr>
      </w:pPr>
      <w:r w:rsidRPr="00CE7EE5">
        <w:rPr>
          <w:rFonts w:ascii="Arial" w:hAnsi="Arial" w:cs="Arial"/>
          <w:i/>
          <w:color w:val="000000"/>
          <w:sz w:val="20"/>
          <w:szCs w:val="20"/>
        </w:rPr>
        <w:t>„Spółka zapewnia funkcjonowanie swojej strony internetowej w języku angielskim, przynajmniej w zakresie wskazanym w części II. pkt 1.”</w:t>
      </w:r>
    </w:p>
    <w:p w:rsidR="003A0FCD" w:rsidRDefault="003A0FCD" w:rsidP="00CE7EE5">
      <w:pPr>
        <w:spacing w:after="0" w:line="360" w:lineRule="auto"/>
        <w:jc w:val="both"/>
        <w:rPr>
          <w:rFonts w:ascii="Arial" w:hAnsi="Arial" w:cs="Arial"/>
          <w:sz w:val="20"/>
          <w:szCs w:val="20"/>
        </w:rPr>
      </w:pPr>
      <w:r w:rsidRPr="00CE7EE5">
        <w:rPr>
          <w:rFonts w:ascii="Arial" w:hAnsi="Arial" w:cs="Arial"/>
          <w:i/>
          <w:iCs/>
          <w:color w:val="000000"/>
          <w:sz w:val="20"/>
          <w:szCs w:val="20"/>
        </w:rPr>
        <w:t>Zarząd Spółki zadecydował o trwał</w:t>
      </w:r>
      <w:r w:rsidR="00425729" w:rsidRPr="00CE7EE5">
        <w:rPr>
          <w:rFonts w:ascii="Arial" w:hAnsi="Arial" w:cs="Arial"/>
          <w:i/>
          <w:iCs/>
          <w:color w:val="000000"/>
          <w:sz w:val="20"/>
          <w:szCs w:val="20"/>
        </w:rPr>
        <w:t>y</w:t>
      </w:r>
      <w:r w:rsidR="001F35F6" w:rsidRPr="00CE7EE5">
        <w:rPr>
          <w:rFonts w:ascii="Arial" w:hAnsi="Arial" w:cs="Arial"/>
          <w:i/>
          <w:iCs/>
          <w:color w:val="000000"/>
          <w:sz w:val="20"/>
          <w:szCs w:val="20"/>
        </w:rPr>
        <w:t>m</w:t>
      </w:r>
      <w:r w:rsidRPr="00CE7EE5">
        <w:rPr>
          <w:rFonts w:ascii="Arial" w:hAnsi="Arial" w:cs="Arial"/>
          <w:i/>
          <w:iCs/>
          <w:color w:val="000000"/>
          <w:sz w:val="20"/>
          <w:szCs w:val="20"/>
        </w:rPr>
        <w:t xml:space="preserve"> odstąpieniu od powyższej zasady.  </w:t>
      </w:r>
      <w:r w:rsidRPr="00CE7EE5">
        <w:rPr>
          <w:rFonts w:ascii="Arial" w:hAnsi="Arial" w:cs="Arial"/>
          <w:sz w:val="20"/>
          <w:szCs w:val="20"/>
        </w:rPr>
        <w:t>Zarząd uznaje, iż ze względu na znaną Emitentowi strukturę akcjonariatu i zakres działalności Emitenta, ponoszenie kosztów funkcjonowania strony internetowej w języku angielskim zgodnie z Rozdziałem II ust. 2 „Dobrych Praktyk Spółek Notowanych na GPW” byłoby nieuzasadnione. Jednocześnie Zarząd oświadcza, iż strona internetowa Emitenta w języku angielskim zostanie udostępniona niezwłocznie po powstaniu w ocenie Zarządu szerszego uzasadnienia dla jej funkcjonowania przy uwzględnieniu ponoszonych kosztów.</w:t>
      </w:r>
    </w:p>
    <w:p w:rsidR="00340132" w:rsidRPr="00CE7EE5" w:rsidRDefault="00340132" w:rsidP="00CE7EE5">
      <w:pPr>
        <w:spacing w:after="0" w:line="360" w:lineRule="auto"/>
        <w:jc w:val="both"/>
        <w:rPr>
          <w:rFonts w:ascii="Arial" w:hAnsi="Arial" w:cs="Arial"/>
          <w:sz w:val="20"/>
          <w:szCs w:val="20"/>
        </w:rPr>
      </w:pPr>
    </w:p>
    <w:p w:rsidR="00BC359C" w:rsidRPr="008F3AD0" w:rsidRDefault="00BC359C" w:rsidP="00CE7EE5">
      <w:pPr>
        <w:spacing w:after="0" w:line="360" w:lineRule="auto"/>
        <w:jc w:val="both"/>
        <w:rPr>
          <w:rFonts w:ascii="Arial" w:hAnsi="Arial" w:cs="Arial"/>
          <w:b/>
          <w:sz w:val="20"/>
          <w:szCs w:val="20"/>
        </w:rPr>
      </w:pPr>
      <w:r w:rsidRPr="008F3AD0">
        <w:rPr>
          <w:rFonts w:ascii="Arial" w:hAnsi="Arial" w:cs="Arial"/>
          <w:b/>
          <w:sz w:val="20"/>
          <w:szCs w:val="20"/>
        </w:rPr>
        <w:lastRenderedPageBreak/>
        <w:t>Cz. III – Dobre praktyki stosowane przez członków rady nadzorczej</w:t>
      </w:r>
    </w:p>
    <w:p w:rsidR="00BC359C" w:rsidRPr="00CE7EE5" w:rsidRDefault="00BC359C" w:rsidP="00CE7EE5">
      <w:pPr>
        <w:pStyle w:val="Default"/>
        <w:spacing w:line="360" w:lineRule="auto"/>
        <w:jc w:val="both"/>
        <w:rPr>
          <w:rFonts w:eastAsia="CenturyGothic"/>
          <w:sz w:val="20"/>
          <w:szCs w:val="20"/>
        </w:rPr>
      </w:pPr>
      <w:r w:rsidRPr="00CE7EE5">
        <w:rPr>
          <w:rFonts w:eastAsia="CenturyGothic"/>
          <w:sz w:val="20"/>
          <w:szCs w:val="20"/>
        </w:rPr>
        <w:t xml:space="preserve">Zasada nr 1 </w:t>
      </w:r>
    </w:p>
    <w:p w:rsidR="00BC359C" w:rsidRPr="00CE7EE5" w:rsidRDefault="00BC359C" w:rsidP="00CE7EE5">
      <w:pPr>
        <w:autoSpaceDE w:val="0"/>
        <w:autoSpaceDN w:val="0"/>
        <w:adjustRightInd w:val="0"/>
        <w:spacing w:after="0" w:line="360" w:lineRule="auto"/>
        <w:ind w:left="357" w:hanging="357"/>
        <w:jc w:val="both"/>
        <w:rPr>
          <w:rFonts w:ascii="Arial" w:hAnsi="Arial" w:cs="Arial"/>
          <w:i/>
          <w:color w:val="000000"/>
          <w:sz w:val="20"/>
          <w:szCs w:val="20"/>
        </w:rPr>
      </w:pPr>
      <w:r w:rsidRPr="00CE7EE5">
        <w:rPr>
          <w:rFonts w:ascii="Arial" w:hAnsi="Arial" w:cs="Arial"/>
          <w:i/>
          <w:color w:val="000000"/>
          <w:sz w:val="20"/>
          <w:szCs w:val="20"/>
        </w:rPr>
        <w:t xml:space="preserve">„Poza czynnościami wymienionymi w przepisach prawa rada nadzorcza powinna: (…) </w:t>
      </w:r>
    </w:p>
    <w:p w:rsidR="00BC359C" w:rsidRPr="00CE7EE5" w:rsidRDefault="00BC359C" w:rsidP="00CE7EE5">
      <w:pPr>
        <w:autoSpaceDE w:val="0"/>
        <w:autoSpaceDN w:val="0"/>
        <w:adjustRightInd w:val="0"/>
        <w:spacing w:after="0" w:line="360" w:lineRule="auto"/>
        <w:ind w:left="540"/>
        <w:jc w:val="both"/>
        <w:rPr>
          <w:rFonts w:ascii="Arial" w:hAnsi="Arial" w:cs="Arial"/>
          <w:i/>
          <w:color w:val="000000"/>
          <w:sz w:val="20"/>
          <w:szCs w:val="20"/>
        </w:rPr>
      </w:pPr>
      <w:r w:rsidRPr="00CE7EE5">
        <w:rPr>
          <w:rFonts w:ascii="Arial" w:hAnsi="Arial" w:cs="Arial"/>
          <w:i/>
          <w:color w:val="000000"/>
          <w:sz w:val="20"/>
          <w:szCs w:val="20"/>
        </w:rPr>
        <w:t xml:space="preserve">3) rozpatrywać i opiniować sprawy mające być przedmiotem uchwał walnego zgromadzenia.” </w:t>
      </w:r>
    </w:p>
    <w:p w:rsidR="00BC359C" w:rsidRPr="00CE7EE5" w:rsidRDefault="00BC359C" w:rsidP="00CE7EE5">
      <w:pPr>
        <w:pStyle w:val="Default"/>
        <w:spacing w:line="360" w:lineRule="auto"/>
        <w:jc w:val="both"/>
        <w:rPr>
          <w:rFonts w:eastAsia="CenturyGothic"/>
          <w:sz w:val="20"/>
          <w:szCs w:val="20"/>
        </w:rPr>
      </w:pPr>
      <w:r w:rsidRPr="00CE7EE5">
        <w:rPr>
          <w:rFonts w:eastAsia="CenturyGothic"/>
          <w:sz w:val="20"/>
          <w:szCs w:val="20"/>
        </w:rPr>
        <w:t>Zasada nie jest w pełni stosowana. Nie w każdym przypadku projekty uchwał są uzasadnione i zaopiniowane przez radę nadzorczą.</w:t>
      </w:r>
      <w:r w:rsidR="001F35F6" w:rsidRPr="00CE7EE5">
        <w:rPr>
          <w:rFonts w:eastAsia="CenturyGothic"/>
          <w:sz w:val="20"/>
          <w:szCs w:val="20"/>
        </w:rPr>
        <w:t xml:space="preserve"> </w:t>
      </w:r>
    </w:p>
    <w:p w:rsidR="00BC359C" w:rsidRPr="00CE7EE5" w:rsidRDefault="00BC359C" w:rsidP="00CE7EE5">
      <w:pPr>
        <w:pStyle w:val="Default"/>
        <w:spacing w:line="360" w:lineRule="auto"/>
        <w:jc w:val="both"/>
        <w:rPr>
          <w:rFonts w:eastAsia="CenturyGothic"/>
          <w:sz w:val="20"/>
          <w:szCs w:val="20"/>
        </w:rPr>
      </w:pPr>
      <w:r w:rsidRPr="00CE7EE5">
        <w:rPr>
          <w:rFonts w:eastAsia="CenturyGothic"/>
          <w:sz w:val="20"/>
          <w:szCs w:val="20"/>
        </w:rPr>
        <w:t xml:space="preserve">Zasada nr 2 </w:t>
      </w:r>
    </w:p>
    <w:p w:rsidR="00BC359C" w:rsidRPr="00CE7EE5" w:rsidRDefault="00BC359C" w:rsidP="00CE7EE5">
      <w:pPr>
        <w:autoSpaceDE w:val="0"/>
        <w:autoSpaceDN w:val="0"/>
        <w:adjustRightInd w:val="0"/>
        <w:spacing w:after="0" w:line="360" w:lineRule="auto"/>
        <w:jc w:val="both"/>
        <w:rPr>
          <w:rFonts w:ascii="Arial" w:eastAsia="CenturyGothic" w:hAnsi="Arial" w:cs="Arial"/>
          <w:i/>
          <w:color w:val="000000"/>
          <w:sz w:val="20"/>
          <w:szCs w:val="20"/>
        </w:rPr>
      </w:pPr>
      <w:r w:rsidRPr="00CE7EE5">
        <w:rPr>
          <w:rFonts w:ascii="Arial" w:eastAsia="CenturyGothic" w:hAnsi="Arial" w:cs="Arial"/>
          <w:i/>
          <w:color w:val="000000"/>
          <w:sz w:val="20"/>
          <w:szCs w:val="20"/>
        </w:rPr>
        <w:t xml:space="preserve">„Członek rady nadzorczej powinien przekazać zarządowi spółki informację na temat swoich powiązań z akcjonariuszem dysponującym akcjami reprezentującymi nie mniej niż 5% ogólnej liczby głosów na walnym zgromadzeniu. Powyższy obowiązek dotyczy powiązań natury ekonomicznej, rodzinnej lub innej, mogących mieć wpływ na stanowisko członka rady nadzorczej w sprawie rozstrzyganej przez radę” </w:t>
      </w:r>
    </w:p>
    <w:p w:rsidR="00BC359C" w:rsidRPr="00CE7EE5" w:rsidRDefault="00BC359C" w:rsidP="00CE7EE5">
      <w:pPr>
        <w:pStyle w:val="Default"/>
        <w:spacing w:line="360" w:lineRule="auto"/>
        <w:jc w:val="both"/>
        <w:rPr>
          <w:rFonts w:eastAsia="CenturyGothic"/>
          <w:sz w:val="20"/>
          <w:szCs w:val="20"/>
        </w:rPr>
      </w:pPr>
    </w:p>
    <w:p w:rsidR="00BC359C" w:rsidRPr="00CE7EE5" w:rsidRDefault="00BC359C" w:rsidP="00CE7EE5">
      <w:pPr>
        <w:pStyle w:val="Default"/>
        <w:spacing w:line="360" w:lineRule="auto"/>
        <w:jc w:val="both"/>
        <w:rPr>
          <w:rFonts w:eastAsia="CenturyGothic"/>
          <w:sz w:val="20"/>
          <w:szCs w:val="20"/>
        </w:rPr>
      </w:pPr>
      <w:r w:rsidRPr="00CE7EE5">
        <w:rPr>
          <w:rFonts w:eastAsia="CenturyGothic"/>
          <w:sz w:val="20"/>
          <w:szCs w:val="20"/>
        </w:rPr>
        <w:t xml:space="preserve">Zasada nie </w:t>
      </w:r>
      <w:r w:rsidR="00EA17D1" w:rsidRPr="00CE7EE5">
        <w:rPr>
          <w:rFonts w:eastAsia="CenturyGothic"/>
          <w:sz w:val="20"/>
          <w:szCs w:val="20"/>
        </w:rPr>
        <w:t xml:space="preserve">była </w:t>
      </w:r>
      <w:r w:rsidRPr="00CE7EE5">
        <w:rPr>
          <w:rFonts w:eastAsia="CenturyGothic"/>
          <w:sz w:val="20"/>
          <w:szCs w:val="20"/>
        </w:rPr>
        <w:t>stosowana w takim samym zakresie jak w roku 200</w:t>
      </w:r>
      <w:r w:rsidR="00294B2B">
        <w:rPr>
          <w:rFonts w:eastAsia="CenturyGothic"/>
          <w:sz w:val="20"/>
          <w:szCs w:val="20"/>
        </w:rPr>
        <w:t>9</w:t>
      </w:r>
      <w:r w:rsidRPr="00CE7EE5">
        <w:rPr>
          <w:rFonts w:eastAsia="CenturyGothic"/>
          <w:sz w:val="20"/>
          <w:szCs w:val="20"/>
        </w:rPr>
        <w:t>. Spółka udostępnia do publicznej wiadomości informacje na temat wykształcenia i kariery zawodowej członka Rady Nadzorczej</w:t>
      </w:r>
      <w:r w:rsidR="00EA17D1" w:rsidRPr="00CE7EE5">
        <w:rPr>
          <w:rFonts w:eastAsia="CenturyGothic"/>
          <w:sz w:val="20"/>
          <w:szCs w:val="20"/>
        </w:rPr>
        <w:t xml:space="preserve"> oraz innych okoliczności zgodnie z Rozporządzeniem o obowiązkach informacyjnych spółek publicznych</w:t>
      </w:r>
      <w:r w:rsidRPr="00CE7EE5">
        <w:rPr>
          <w:rFonts w:eastAsia="CenturyGothic"/>
          <w:sz w:val="20"/>
          <w:szCs w:val="20"/>
        </w:rPr>
        <w:t>. Spółka nie dysponuje procedurą uzyskiwania informacji od członków Rady Nadzorczej o ich osobistych, faktycznych i organizacyjnych powiązaniach z określonym akcjonariuszem</w:t>
      </w:r>
      <w:r w:rsidR="00EA17D1" w:rsidRPr="00CE7EE5">
        <w:rPr>
          <w:rFonts w:eastAsia="CenturyGothic"/>
          <w:sz w:val="20"/>
          <w:szCs w:val="20"/>
        </w:rPr>
        <w:t>.</w:t>
      </w:r>
    </w:p>
    <w:p w:rsidR="00BC359C" w:rsidRPr="00CE7EE5" w:rsidRDefault="00BC359C" w:rsidP="00CE7EE5">
      <w:pPr>
        <w:pStyle w:val="Default"/>
        <w:spacing w:line="360" w:lineRule="auto"/>
        <w:jc w:val="both"/>
        <w:rPr>
          <w:rFonts w:eastAsia="CenturyGothic"/>
          <w:sz w:val="20"/>
          <w:szCs w:val="20"/>
        </w:rPr>
      </w:pPr>
      <w:r w:rsidRPr="00CE7EE5">
        <w:rPr>
          <w:rFonts w:eastAsia="CenturyGothic"/>
          <w:sz w:val="20"/>
          <w:szCs w:val="20"/>
        </w:rPr>
        <w:t>Zasada nr 3</w:t>
      </w:r>
    </w:p>
    <w:p w:rsidR="00BC359C" w:rsidRPr="00CE7EE5" w:rsidRDefault="00BC359C" w:rsidP="00CE7EE5">
      <w:pPr>
        <w:autoSpaceDE w:val="0"/>
        <w:autoSpaceDN w:val="0"/>
        <w:adjustRightInd w:val="0"/>
        <w:spacing w:after="0" w:line="360" w:lineRule="auto"/>
        <w:jc w:val="both"/>
        <w:rPr>
          <w:rFonts w:ascii="Arial" w:eastAsia="CenturyGothic" w:hAnsi="Arial" w:cs="Arial"/>
          <w:i/>
          <w:color w:val="000000"/>
          <w:sz w:val="20"/>
          <w:szCs w:val="20"/>
        </w:rPr>
      </w:pPr>
      <w:r w:rsidRPr="00CE7EE5">
        <w:rPr>
          <w:rFonts w:ascii="Arial" w:eastAsia="CenturyGothic" w:hAnsi="Arial" w:cs="Arial"/>
          <w:i/>
          <w:color w:val="000000"/>
          <w:sz w:val="20"/>
          <w:szCs w:val="20"/>
        </w:rPr>
        <w:t>„Członkowie rady nadzorczej powinni uczestniczyć w obradach walnego zgromadzenia w składzie umożliwiającym udzielenie merytorycznej odpowiedzi na pytania zadawane w trakcie walnego zgromadzenia”</w:t>
      </w:r>
    </w:p>
    <w:p w:rsidR="00BC359C" w:rsidRDefault="00BC359C" w:rsidP="00CE7EE5">
      <w:pPr>
        <w:autoSpaceDE w:val="0"/>
        <w:autoSpaceDN w:val="0"/>
        <w:adjustRightInd w:val="0"/>
        <w:spacing w:after="0" w:line="360" w:lineRule="auto"/>
        <w:jc w:val="both"/>
        <w:rPr>
          <w:rFonts w:ascii="Arial" w:hAnsi="Arial" w:cs="Arial"/>
          <w:sz w:val="20"/>
          <w:szCs w:val="20"/>
        </w:rPr>
      </w:pPr>
      <w:r w:rsidRPr="00CE7EE5">
        <w:rPr>
          <w:rFonts w:ascii="Arial" w:eastAsia="CenturyGothic" w:hAnsi="Arial" w:cs="Arial"/>
          <w:color w:val="000000"/>
          <w:sz w:val="20"/>
          <w:szCs w:val="20"/>
        </w:rPr>
        <w:t>Zasada nie jest stosowana. W tym zakresie nie nastąpiła zmiana praktyki Spółki w stosunku do roku 200</w:t>
      </w:r>
      <w:r w:rsidR="00294B2B">
        <w:rPr>
          <w:rFonts w:ascii="Arial" w:eastAsia="CenturyGothic" w:hAnsi="Arial" w:cs="Arial"/>
          <w:color w:val="000000"/>
          <w:sz w:val="20"/>
          <w:szCs w:val="20"/>
        </w:rPr>
        <w:t>9</w:t>
      </w:r>
      <w:r w:rsidRPr="00CE7EE5">
        <w:rPr>
          <w:rFonts w:ascii="Arial" w:eastAsia="CenturyGothic" w:hAnsi="Arial" w:cs="Arial"/>
          <w:color w:val="000000"/>
          <w:sz w:val="20"/>
          <w:szCs w:val="20"/>
        </w:rPr>
        <w:t xml:space="preserve">. Na walnych zgromadzeniach spółki są obecni członkowie zarządu lub ich przedstawiciele. Regulacje wewnętrzne spółki nie obligują członków rady nadzorczej do obecności na walnym zgromadzeniu. </w:t>
      </w:r>
      <w:r w:rsidRPr="00CE7EE5">
        <w:rPr>
          <w:rFonts w:ascii="Arial" w:hAnsi="Arial" w:cs="Arial"/>
          <w:sz w:val="20"/>
          <w:szCs w:val="20"/>
        </w:rPr>
        <w:t>Obecni na walnym zgromadzeniu przedstawiciele organów spółki udzielają uczestnikom zgromadzenia wyjaśnień i informacji dotyczących spółki</w:t>
      </w:r>
    </w:p>
    <w:p w:rsidR="00340132" w:rsidRPr="00CE7EE5" w:rsidRDefault="00340132" w:rsidP="00CE7EE5">
      <w:pPr>
        <w:autoSpaceDE w:val="0"/>
        <w:autoSpaceDN w:val="0"/>
        <w:adjustRightInd w:val="0"/>
        <w:spacing w:after="0" w:line="360" w:lineRule="auto"/>
        <w:jc w:val="both"/>
        <w:rPr>
          <w:rFonts w:ascii="Arial" w:eastAsia="CenturyGothic" w:hAnsi="Arial" w:cs="Arial"/>
          <w:color w:val="000000"/>
          <w:sz w:val="20"/>
          <w:szCs w:val="20"/>
        </w:rPr>
      </w:pPr>
    </w:p>
    <w:p w:rsidR="00BC359C" w:rsidRPr="00CE7EE5" w:rsidRDefault="00BC359C" w:rsidP="00CE7EE5">
      <w:pPr>
        <w:pStyle w:val="Default"/>
        <w:spacing w:line="360" w:lineRule="auto"/>
        <w:jc w:val="both"/>
        <w:rPr>
          <w:sz w:val="20"/>
          <w:szCs w:val="20"/>
        </w:rPr>
      </w:pPr>
      <w:r w:rsidRPr="00CE7EE5">
        <w:rPr>
          <w:rFonts w:eastAsia="CenturyGothic"/>
          <w:sz w:val="20"/>
          <w:szCs w:val="20"/>
        </w:rPr>
        <w:t xml:space="preserve">Zasada nr 8 </w:t>
      </w:r>
    </w:p>
    <w:p w:rsidR="00BC359C" w:rsidRPr="00CE7EE5" w:rsidRDefault="00BC359C" w:rsidP="00CE7EE5">
      <w:pPr>
        <w:autoSpaceDE w:val="0"/>
        <w:autoSpaceDN w:val="0"/>
        <w:adjustRightInd w:val="0"/>
        <w:spacing w:after="0" w:line="360" w:lineRule="auto"/>
        <w:jc w:val="both"/>
        <w:rPr>
          <w:rFonts w:ascii="Arial" w:eastAsia="CenturyGothic" w:hAnsi="Arial" w:cs="Arial"/>
          <w:color w:val="000000"/>
          <w:sz w:val="20"/>
          <w:szCs w:val="20"/>
        </w:rPr>
      </w:pPr>
      <w:r w:rsidRPr="00CE7EE5">
        <w:rPr>
          <w:rFonts w:ascii="Arial" w:eastAsia="CenturyGothic" w:hAnsi="Arial" w:cs="Arial"/>
          <w:color w:val="000000"/>
          <w:sz w:val="20"/>
          <w:szCs w:val="20"/>
        </w:rPr>
        <w:t>„W zakresie zadań i funkcjonowania komitetów działających w radzie nadzorczej powinien być stosowany Załącznik I do Zalecenia Komisji Europejskiej z dnia 15 lutego 2005 r. dotyczącego roli dyrektorów niewykonawczych (…).”</w:t>
      </w:r>
    </w:p>
    <w:p w:rsidR="00BC359C" w:rsidRDefault="00BC359C" w:rsidP="00CE7EE5">
      <w:pPr>
        <w:autoSpaceDE w:val="0"/>
        <w:autoSpaceDN w:val="0"/>
        <w:adjustRightInd w:val="0"/>
        <w:spacing w:after="0" w:line="360" w:lineRule="auto"/>
        <w:jc w:val="both"/>
        <w:rPr>
          <w:rFonts w:ascii="Arial" w:hAnsi="Arial" w:cs="Arial"/>
          <w:bCs/>
          <w:sz w:val="20"/>
          <w:szCs w:val="20"/>
        </w:rPr>
      </w:pPr>
      <w:r w:rsidRPr="00CE7EE5">
        <w:rPr>
          <w:rFonts w:ascii="Arial" w:eastAsia="CenturyGothic" w:hAnsi="Arial" w:cs="Arial"/>
          <w:color w:val="000000"/>
          <w:sz w:val="20"/>
          <w:szCs w:val="20"/>
        </w:rPr>
        <w:t>Zasada nie była stosowana z uwagi na brak komitetów wyodrębnionych w ramach Rady Nadzorczej</w:t>
      </w:r>
      <w:r w:rsidR="00425729" w:rsidRPr="00CE7EE5">
        <w:rPr>
          <w:rFonts w:ascii="Arial" w:eastAsia="CenturyGothic" w:hAnsi="Arial" w:cs="Arial"/>
          <w:color w:val="000000"/>
          <w:sz w:val="20"/>
          <w:szCs w:val="20"/>
        </w:rPr>
        <w:t xml:space="preserve">, za wyjątkiem komitetu audytu, gdy jego ustanowienie było wymagane przez </w:t>
      </w:r>
      <w:r w:rsidR="00425729" w:rsidRPr="00CE7EE5">
        <w:rPr>
          <w:rFonts w:ascii="Arial" w:hAnsi="Arial" w:cs="Arial"/>
          <w:bCs/>
          <w:sz w:val="20"/>
          <w:szCs w:val="20"/>
        </w:rPr>
        <w:t>ustawie z dnia 7 maja 2009 r. o biegłych rewidentach i ich samorządzie, podmiotach uprawnionych do badania sprawozdań finansowych oraz o nadzorze publicznym.</w:t>
      </w:r>
    </w:p>
    <w:p w:rsidR="004E343D" w:rsidRPr="00CE7EE5" w:rsidRDefault="004E343D" w:rsidP="00CE7EE5">
      <w:pPr>
        <w:autoSpaceDE w:val="0"/>
        <w:autoSpaceDN w:val="0"/>
        <w:adjustRightInd w:val="0"/>
        <w:spacing w:after="0" w:line="360" w:lineRule="auto"/>
        <w:jc w:val="both"/>
        <w:rPr>
          <w:rFonts w:ascii="Arial" w:eastAsia="CenturyGothic" w:hAnsi="Arial" w:cs="Arial"/>
          <w:color w:val="000000"/>
          <w:sz w:val="20"/>
          <w:szCs w:val="20"/>
        </w:rPr>
      </w:pPr>
    </w:p>
    <w:p w:rsidR="009A6D88" w:rsidRPr="00CE7EE5" w:rsidRDefault="004E343D" w:rsidP="00CE7EE5">
      <w:pPr>
        <w:pStyle w:val="Akapitzlist"/>
        <w:numPr>
          <w:ilvl w:val="0"/>
          <w:numId w:val="1"/>
        </w:numPr>
        <w:tabs>
          <w:tab w:val="right" w:pos="0"/>
        </w:tabs>
        <w:autoSpaceDE w:val="0"/>
        <w:autoSpaceDN w:val="0"/>
        <w:adjustRightInd w:val="0"/>
        <w:spacing w:after="0" w:line="360" w:lineRule="auto"/>
        <w:ind w:left="567" w:hanging="567"/>
        <w:jc w:val="both"/>
        <w:rPr>
          <w:rFonts w:ascii="Arial" w:hAnsi="Arial" w:cs="Arial"/>
          <w:b/>
          <w:sz w:val="20"/>
          <w:szCs w:val="20"/>
        </w:rPr>
      </w:pPr>
      <w:r>
        <w:rPr>
          <w:rFonts w:ascii="Arial" w:hAnsi="Arial" w:cs="Arial"/>
          <w:b/>
          <w:sz w:val="20"/>
          <w:szCs w:val="20"/>
        </w:rPr>
        <w:t>O</w:t>
      </w:r>
      <w:r w:rsidR="009A6D88" w:rsidRPr="00CE7EE5">
        <w:rPr>
          <w:rFonts w:ascii="Arial" w:hAnsi="Arial" w:cs="Arial"/>
          <w:b/>
          <w:sz w:val="20"/>
          <w:szCs w:val="20"/>
        </w:rPr>
        <w:t>pis głównych cech stosowanych w przedsiębiorstwie emitenta systemów kontroli wewnętrznej i zarządzania ryzykiem w odniesieniu do procesu sporządzania sprawozdań finansowych i skonsoli</w:t>
      </w:r>
      <w:r w:rsidR="00425729" w:rsidRPr="00CE7EE5">
        <w:rPr>
          <w:rFonts w:ascii="Arial" w:hAnsi="Arial" w:cs="Arial"/>
          <w:b/>
          <w:sz w:val="20"/>
          <w:szCs w:val="20"/>
        </w:rPr>
        <w:t>dowanych sprawozdań finansowych.</w:t>
      </w:r>
    </w:p>
    <w:p w:rsidR="008C6EDC" w:rsidRPr="00CE7EE5" w:rsidRDefault="008C6EDC" w:rsidP="00CE7EE5">
      <w:pPr>
        <w:autoSpaceDE w:val="0"/>
        <w:autoSpaceDN w:val="0"/>
        <w:adjustRightInd w:val="0"/>
        <w:spacing w:after="0" w:line="360" w:lineRule="auto"/>
        <w:jc w:val="both"/>
        <w:rPr>
          <w:rFonts w:ascii="Arial" w:hAnsi="Arial" w:cs="Arial"/>
          <w:sz w:val="20"/>
          <w:szCs w:val="20"/>
        </w:rPr>
      </w:pPr>
    </w:p>
    <w:p w:rsidR="008C6EDC" w:rsidRPr="00CE7EE5" w:rsidRDefault="008C6EDC" w:rsidP="00CE7EE5">
      <w:pPr>
        <w:autoSpaceDE w:val="0"/>
        <w:autoSpaceDN w:val="0"/>
        <w:adjustRightInd w:val="0"/>
        <w:spacing w:after="0" w:line="360" w:lineRule="auto"/>
        <w:jc w:val="both"/>
        <w:rPr>
          <w:rFonts w:ascii="Arial" w:hAnsi="Arial" w:cs="Arial"/>
          <w:sz w:val="20"/>
          <w:szCs w:val="20"/>
        </w:rPr>
      </w:pPr>
      <w:r w:rsidRPr="00CE7EE5">
        <w:rPr>
          <w:rFonts w:ascii="Arial" w:hAnsi="Arial" w:cs="Arial"/>
          <w:sz w:val="20"/>
          <w:szCs w:val="20"/>
        </w:rPr>
        <w:t xml:space="preserve">Zarząd Funduszu odpowiedzialny jest za wykonywanie obowiązków w zakresie rachunkowości określonych przepisami prawa, w tym </w:t>
      </w:r>
      <w:r w:rsidR="0015502B">
        <w:rPr>
          <w:rFonts w:ascii="Arial" w:hAnsi="Arial" w:cs="Arial"/>
          <w:sz w:val="20"/>
          <w:szCs w:val="20"/>
        </w:rPr>
        <w:t xml:space="preserve">w zakresie </w:t>
      </w:r>
      <w:r w:rsidRPr="00CE7EE5">
        <w:rPr>
          <w:rFonts w:ascii="Arial" w:hAnsi="Arial" w:cs="Arial"/>
          <w:sz w:val="20"/>
          <w:szCs w:val="20"/>
        </w:rPr>
        <w:t xml:space="preserve">nadzoru. Zarząd Funduszu nie wprowadził kontroli instytucjonalnej ze względu na jej koszty działania. W stosunku do skali działalności prowadzonej przez Fundusz koszty te nie byłyby uzasadnione. W związku z tym Zarząd Funduszu wprowadził kontrolę funkcjonalną przypisaną do poszczególnych stanowisk, a jej podstawowe zadania wynikają z zakresu czynności pracowników. System kontroli funkcjonalnej obejmuje swoim zakresem: księgowość, prognozowanie i  analizy finansowe oraz sprawozdawczość zewnętrzną. Założeniem efektywnego systemu kontroli wewnętrznej w sprawozdawczości finansowej jest zapewnienie adekwatności i poprawności informacji finansowych zawartych w sprawozdaniach finansowych i raportach okresowych. W ramach kontroli nad sprawozdawczością Zarząd Funduszu, zgodnie z obowiązującymi przepisami prawa, poddaje sprawozdania finansowe odpowiednio przeglądowi lub badaniu przez niezależnego biegłego rewidenta o uznanych, odpowiednio wysokich kwalifikacjach. Wyboru niezależnego audytora dokonuje Rada Nadzorcza Funduszu. Sprawozdania finansowe, po zakończeniu badania przez audytora, przesyłane są członkom Rady Nadzorczej, która dokonuje ich oceny w zakresie zgodności z księgami i dokumentami oraz ze stanem faktycznym. </w:t>
      </w:r>
    </w:p>
    <w:p w:rsidR="004E343D" w:rsidRPr="00CE7EE5" w:rsidRDefault="004E343D" w:rsidP="00CE7EE5">
      <w:pPr>
        <w:tabs>
          <w:tab w:val="right" w:pos="0"/>
        </w:tabs>
        <w:autoSpaceDE w:val="0"/>
        <w:autoSpaceDN w:val="0"/>
        <w:adjustRightInd w:val="0"/>
        <w:spacing w:after="0" w:line="360" w:lineRule="auto"/>
        <w:jc w:val="both"/>
        <w:rPr>
          <w:rFonts w:ascii="Arial" w:hAnsi="Arial" w:cs="Arial"/>
          <w:b/>
          <w:sz w:val="20"/>
          <w:szCs w:val="20"/>
        </w:rPr>
      </w:pPr>
    </w:p>
    <w:p w:rsidR="009A6D88" w:rsidRPr="00CE7EE5" w:rsidRDefault="00353440" w:rsidP="00CE7EE5">
      <w:pPr>
        <w:pStyle w:val="Akapitzlist"/>
        <w:numPr>
          <w:ilvl w:val="0"/>
          <w:numId w:val="1"/>
        </w:numPr>
        <w:tabs>
          <w:tab w:val="right" w:pos="0"/>
        </w:tabs>
        <w:autoSpaceDE w:val="0"/>
        <w:autoSpaceDN w:val="0"/>
        <w:adjustRightInd w:val="0"/>
        <w:spacing w:after="0" w:line="360" w:lineRule="auto"/>
        <w:ind w:left="567" w:hanging="567"/>
        <w:jc w:val="both"/>
        <w:rPr>
          <w:rFonts w:ascii="Arial" w:hAnsi="Arial" w:cs="Arial"/>
          <w:b/>
          <w:sz w:val="20"/>
          <w:szCs w:val="20"/>
        </w:rPr>
      </w:pPr>
      <w:r w:rsidRPr="00CE7EE5">
        <w:rPr>
          <w:rFonts w:ascii="Arial" w:hAnsi="Arial" w:cs="Arial"/>
          <w:b/>
          <w:sz w:val="20"/>
          <w:szCs w:val="20"/>
        </w:rPr>
        <w:t>W</w:t>
      </w:r>
      <w:r w:rsidR="009A6D88" w:rsidRPr="00CE7EE5">
        <w:rPr>
          <w:rFonts w:ascii="Arial" w:hAnsi="Arial" w:cs="Arial"/>
          <w:b/>
          <w:sz w:val="20"/>
          <w:szCs w:val="20"/>
        </w:rPr>
        <w:t>skazanie akcjonariuszy posiadających bezpośrednio lub pośrednio znaczne pakiety akcji wraz ze wskazaniem liczby posiadanych przez te podmioty akcji, ich procentowego udziału w kapitale zakładowym, liczby głosów z nich wynikających i ich procentowego udziału w ogólnej liczbie głosów na walnym zgromadzeniu,</w:t>
      </w:r>
    </w:p>
    <w:p w:rsidR="00B97ED8" w:rsidRPr="00CE7EE5" w:rsidRDefault="00B97ED8" w:rsidP="00CE7EE5">
      <w:pPr>
        <w:tabs>
          <w:tab w:val="left" w:pos="680"/>
        </w:tabs>
        <w:autoSpaceDE w:val="0"/>
        <w:autoSpaceDN w:val="0"/>
        <w:adjustRightInd w:val="0"/>
        <w:spacing w:after="0" w:line="360" w:lineRule="auto"/>
        <w:ind w:left="680" w:hanging="272"/>
        <w:jc w:val="both"/>
        <w:rPr>
          <w:rFonts w:ascii="Arial" w:hAnsi="Arial" w:cs="Arial"/>
          <w:sz w:val="20"/>
          <w:szCs w:val="20"/>
        </w:rPr>
      </w:pPr>
    </w:p>
    <w:p w:rsidR="00B97ED8" w:rsidRDefault="00B97ED8" w:rsidP="00CE7EE5">
      <w:pPr>
        <w:pStyle w:val="Tekstpodstawowy"/>
        <w:spacing w:line="360" w:lineRule="auto"/>
        <w:jc w:val="both"/>
        <w:rPr>
          <w:rFonts w:ascii="Arial" w:hAnsi="Arial" w:cs="Arial"/>
          <w:i/>
          <w:color w:val="auto"/>
        </w:rPr>
      </w:pPr>
      <w:r w:rsidRPr="0015502B">
        <w:rPr>
          <w:rFonts w:ascii="Arial" w:hAnsi="Arial" w:cs="Arial"/>
          <w:i/>
          <w:color w:val="auto"/>
        </w:rPr>
        <w:t xml:space="preserve">Wykaz akcjonariuszy </w:t>
      </w:r>
      <w:r w:rsidR="00CD1959">
        <w:rPr>
          <w:rFonts w:ascii="Arial" w:hAnsi="Arial" w:cs="Arial"/>
          <w:i/>
          <w:color w:val="auto"/>
        </w:rPr>
        <w:t xml:space="preserve">Funduszu </w:t>
      </w:r>
      <w:r w:rsidRPr="0015502B">
        <w:rPr>
          <w:rFonts w:ascii="Arial" w:hAnsi="Arial" w:cs="Arial"/>
          <w:i/>
          <w:color w:val="auto"/>
        </w:rPr>
        <w:t>posiadających bezpośrednio lub pośrednio poprzez podmioty zależne co najmniej 5% ogólnej liczby głosów na Walnym Zgromadzeniu. zgodny z</w:t>
      </w:r>
      <w:r w:rsidR="00CD1959">
        <w:rPr>
          <w:rFonts w:ascii="Arial" w:hAnsi="Arial" w:cs="Arial"/>
          <w:i/>
          <w:color w:val="auto"/>
        </w:rPr>
        <w:t xml:space="preserve"> zawiadomieniami otrzymanymi przez Fundusz</w:t>
      </w:r>
      <w:r w:rsidR="00EE4CE9">
        <w:rPr>
          <w:rFonts w:ascii="Arial" w:hAnsi="Arial" w:cs="Arial"/>
          <w:i/>
          <w:color w:val="auto"/>
        </w:rPr>
        <w:t xml:space="preserve"> w trybie ustawy o ofercie publicznej i warunkach wprowadzania instrumentów finansowych do zorganizowanego systemu obrotu</w:t>
      </w:r>
      <w:r w:rsidRPr="0015502B">
        <w:rPr>
          <w:rFonts w:ascii="Arial" w:hAnsi="Arial" w:cs="Arial"/>
          <w:i/>
          <w:color w:val="auto"/>
        </w:rPr>
        <w:t>:</w:t>
      </w:r>
    </w:p>
    <w:tbl>
      <w:tblPr>
        <w:tblW w:w="10158" w:type="dxa"/>
        <w:tblInd w:w="-23" w:type="dxa"/>
        <w:tblCellMar>
          <w:left w:w="0" w:type="dxa"/>
          <w:right w:w="0" w:type="dxa"/>
        </w:tblCellMar>
        <w:tblLook w:val="04A0"/>
      </w:tblPr>
      <w:tblGrid>
        <w:gridCol w:w="1675"/>
        <w:gridCol w:w="2100"/>
        <w:gridCol w:w="1988"/>
        <w:gridCol w:w="2384"/>
        <w:gridCol w:w="2011"/>
      </w:tblGrid>
      <w:tr w:rsidR="00357B11" w:rsidTr="00357B11">
        <w:trPr>
          <w:trHeight w:val="1005"/>
        </w:trPr>
        <w:tc>
          <w:tcPr>
            <w:tcW w:w="1675" w:type="dxa"/>
            <w:tcBorders>
              <w:top w:val="single" w:sz="8" w:space="0" w:color="auto"/>
              <w:left w:val="single" w:sz="8" w:space="0" w:color="auto"/>
              <w:bottom w:val="single" w:sz="8" w:space="0" w:color="auto"/>
              <w:right w:val="single" w:sz="8" w:space="0" w:color="auto"/>
            </w:tcBorders>
            <w:shd w:val="clear" w:color="auto" w:fill="BFBFBF"/>
            <w:tcMar>
              <w:top w:w="0" w:type="dxa"/>
              <w:left w:w="70" w:type="dxa"/>
              <w:bottom w:w="0" w:type="dxa"/>
              <w:right w:w="70" w:type="dxa"/>
            </w:tcMar>
            <w:hideMark/>
          </w:tcPr>
          <w:p w:rsidR="00357B11" w:rsidRPr="00357B11" w:rsidRDefault="00357B11">
            <w:pPr>
              <w:rPr>
                <w:rFonts w:ascii="Arial" w:hAnsi="Arial" w:cs="Arial"/>
                <w:b/>
                <w:bCs/>
                <w:color w:val="000000"/>
                <w:sz w:val="20"/>
                <w:szCs w:val="20"/>
              </w:rPr>
            </w:pPr>
            <w:r w:rsidRPr="00357B11">
              <w:rPr>
                <w:rFonts w:ascii="Arial" w:hAnsi="Arial" w:cs="Arial"/>
                <w:b/>
                <w:bCs/>
                <w:color w:val="000000"/>
                <w:sz w:val="20"/>
                <w:szCs w:val="20"/>
              </w:rPr>
              <w:t xml:space="preserve">Akcjonariusz </w:t>
            </w:r>
          </w:p>
        </w:tc>
        <w:tc>
          <w:tcPr>
            <w:tcW w:w="2100" w:type="dxa"/>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357B11" w:rsidRPr="00357B11" w:rsidRDefault="00357B11">
            <w:pPr>
              <w:rPr>
                <w:rFonts w:ascii="Arial" w:hAnsi="Arial" w:cs="Arial"/>
                <w:b/>
                <w:bCs/>
                <w:color w:val="000000"/>
                <w:sz w:val="20"/>
                <w:szCs w:val="20"/>
              </w:rPr>
            </w:pPr>
            <w:r w:rsidRPr="00357B11">
              <w:rPr>
                <w:rFonts w:ascii="Arial" w:hAnsi="Arial" w:cs="Arial"/>
                <w:b/>
                <w:bCs/>
                <w:color w:val="000000"/>
                <w:sz w:val="20"/>
                <w:szCs w:val="20"/>
              </w:rPr>
              <w:t xml:space="preserve">Ilość akcji </w:t>
            </w:r>
          </w:p>
        </w:tc>
        <w:tc>
          <w:tcPr>
            <w:tcW w:w="1988" w:type="dxa"/>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357B11" w:rsidRPr="00357B11" w:rsidRDefault="00357B11">
            <w:pPr>
              <w:rPr>
                <w:rFonts w:ascii="Arial" w:hAnsi="Arial" w:cs="Arial"/>
                <w:b/>
                <w:bCs/>
                <w:color w:val="000000"/>
                <w:sz w:val="20"/>
                <w:szCs w:val="20"/>
              </w:rPr>
            </w:pPr>
            <w:r w:rsidRPr="00357B11">
              <w:rPr>
                <w:rFonts w:ascii="Arial" w:hAnsi="Arial" w:cs="Arial"/>
                <w:b/>
                <w:bCs/>
                <w:color w:val="000000"/>
                <w:sz w:val="20"/>
                <w:szCs w:val="20"/>
              </w:rPr>
              <w:t xml:space="preserve">Ilość głosów </w:t>
            </w:r>
          </w:p>
        </w:tc>
        <w:tc>
          <w:tcPr>
            <w:tcW w:w="2384" w:type="dxa"/>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357B11" w:rsidRPr="00357B11" w:rsidRDefault="00357B11">
            <w:pPr>
              <w:rPr>
                <w:rFonts w:ascii="Arial" w:hAnsi="Arial" w:cs="Arial"/>
                <w:b/>
                <w:bCs/>
                <w:color w:val="000000"/>
                <w:sz w:val="20"/>
                <w:szCs w:val="20"/>
              </w:rPr>
            </w:pPr>
            <w:r w:rsidRPr="00357B11">
              <w:rPr>
                <w:rFonts w:ascii="Arial" w:hAnsi="Arial" w:cs="Arial"/>
                <w:b/>
                <w:bCs/>
                <w:color w:val="000000"/>
                <w:sz w:val="20"/>
                <w:szCs w:val="20"/>
              </w:rPr>
              <w:t xml:space="preserve">% głosów (bez akcji własnych) </w:t>
            </w:r>
          </w:p>
        </w:tc>
        <w:tc>
          <w:tcPr>
            <w:tcW w:w="2011" w:type="dxa"/>
            <w:tcBorders>
              <w:top w:val="single" w:sz="8" w:space="0" w:color="auto"/>
              <w:left w:val="nil"/>
              <w:bottom w:val="nil"/>
              <w:right w:val="single" w:sz="8" w:space="0" w:color="auto"/>
            </w:tcBorders>
            <w:shd w:val="clear" w:color="auto" w:fill="BFBFBF"/>
            <w:tcMar>
              <w:top w:w="0" w:type="dxa"/>
              <w:left w:w="70" w:type="dxa"/>
              <w:bottom w:w="0" w:type="dxa"/>
              <w:right w:w="70" w:type="dxa"/>
            </w:tcMar>
            <w:hideMark/>
          </w:tcPr>
          <w:p w:rsidR="00357B11" w:rsidRPr="00357B11" w:rsidRDefault="00357B11">
            <w:pPr>
              <w:rPr>
                <w:rFonts w:ascii="Arial" w:hAnsi="Arial" w:cs="Arial"/>
                <w:b/>
                <w:bCs/>
                <w:color w:val="000000"/>
                <w:sz w:val="20"/>
                <w:szCs w:val="20"/>
              </w:rPr>
            </w:pPr>
            <w:r w:rsidRPr="00357B11">
              <w:rPr>
                <w:rFonts w:ascii="Arial" w:hAnsi="Arial" w:cs="Arial"/>
                <w:b/>
                <w:bCs/>
                <w:color w:val="000000"/>
                <w:sz w:val="20"/>
                <w:szCs w:val="20"/>
              </w:rPr>
              <w:t xml:space="preserve">% ogólnej liczby głosów  </w:t>
            </w:r>
          </w:p>
        </w:tc>
      </w:tr>
      <w:tr w:rsidR="00357B11" w:rsidTr="00357B11">
        <w:trPr>
          <w:trHeight w:val="675"/>
        </w:trPr>
        <w:tc>
          <w:tcPr>
            <w:tcW w:w="1675" w:type="dxa"/>
            <w:tcBorders>
              <w:top w:val="nil"/>
              <w:left w:val="single" w:sz="8" w:space="0" w:color="auto"/>
              <w:bottom w:val="single" w:sz="8" w:space="0" w:color="auto"/>
              <w:right w:val="nil"/>
            </w:tcBorders>
            <w:tcMar>
              <w:top w:w="0" w:type="dxa"/>
              <w:left w:w="70" w:type="dxa"/>
              <w:bottom w:w="0" w:type="dxa"/>
              <w:right w:w="70" w:type="dxa"/>
            </w:tcMar>
            <w:hideMark/>
          </w:tcPr>
          <w:p w:rsidR="00357B11" w:rsidRPr="00357B11" w:rsidRDefault="00357B11">
            <w:pPr>
              <w:rPr>
                <w:rFonts w:ascii="Arial" w:hAnsi="Arial" w:cs="Arial"/>
                <w:color w:val="000000"/>
                <w:sz w:val="20"/>
                <w:szCs w:val="20"/>
              </w:rPr>
            </w:pPr>
            <w:r w:rsidRPr="00357B11">
              <w:rPr>
                <w:rFonts w:ascii="Arial" w:hAnsi="Arial" w:cs="Arial"/>
                <w:color w:val="000000"/>
                <w:sz w:val="20"/>
                <w:szCs w:val="20"/>
              </w:rPr>
              <w:t xml:space="preserve">Novakonstelacja Limited </w:t>
            </w:r>
          </w:p>
        </w:tc>
        <w:tc>
          <w:tcPr>
            <w:tcW w:w="210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33 379 765</w:t>
            </w:r>
          </w:p>
        </w:tc>
        <w:tc>
          <w:tcPr>
            <w:tcW w:w="198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33 379 765</w:t>
            </w:r>
          </w:p>
        </w:tc>
        <w:tc>
          <w:tcPr>
            <w:tcW w:w="23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33,57%</w:t>
            </w:r>
          </w:p>
        </w:tc>
        <w:tc>
          <w:tcPr>
            <w:tcW w:w="201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27,74%</w:t>
            </w:r>
          </w:p>
        </w:tc>
      </w:tr>
      <w:tr w:rsidR="00357B11" w:rsidTr="00357B11">
        <w:trPr>
          <w:trHeight w:val="675"/>
        </w:trPr>
        <w:tc>
          <w:tcPr>
            <w:tcW w:w="1675" w:type="dxa"/>
            <w:tcBorders>
              <w:top w:val="nil"/>
              <w:left w:val="single" w:sz="8" w:space="0" w:color="auto"/>
              <w:bottom w:val="single" w:sz="8" w:space="0" w:color="auto"/>
              <w:right w:val="nil"/>
            </w:tcBorders>
            <w:tcMar>
              <w:top w:w="0" w:type="dxa"/>
              <w:left w:w="70" w:type="dxa"/>
              <w:bottom w:w="0" w:type="dxa"/>
              <w:right w:w="70" w:type="dxa"/>
            </w:tcMar>
            <w:hideMark/>
          </w:tcPr>
          <w:p w:rsidR="00357B11" w:rsidRPr="00357B11" w:rsidRDefault="00357B11">
            <w:pPr>
              <w:rPr>
                <w:rFonts w:ascii="Arial" w:hAnsi="Arial" w:cs="Arial"/>
                <w:color w:val="000000"/>
                <w:sz w:val="20"/>
                <w:szCs w:val="20"/>
              </w:rPr>
            </w:pPr>
            <w:r w:rsidRPr="00357B11">
              <w:rPr>
                <w:rFonts w:ascii="Arial" w:hAnsi="Arial" w:cs="Arial"/>
                <w:color w:val="000000"/>
                <w:sz w:val="20"/>
                <w:szCs w:val="20"/>
              </w:rPr>
              <w:t xml:space="preserve">Superkonstelacja Limited </w:t>
            </w:r>
          </w:p>
        </w:tc>
        <w:tc>
          <w:tcPr>
            <w:tcW w:w="21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16 178 323</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16 178 323</w:t>
            </w:r>
          </w:p>
        </w:tc>
        <w:tc>
          <w:tcPr>
            <w:tcW w:w="23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16,27%</w:t>
            </w:r>
          </w:p>
        </w:tc>
        <w:tc>
          <w:tcPr>
            <w:tcW w:w="20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13,45%</w:t>
            </w:r>
          </w:p>
        </w:tc>
      </w:tr>
      <w:tr w:rsidR="00357B11" w:rsidTr="00357B11">
        <w:trPr>
          <w:trHeight w:val="1005"/>
        </w:trPr>
        <w:tc>
          <w:tcPr>
            <w:tcW w:w="1675" w:type="dxa"/>
            <w:tcBorders>
              <w:top w:val="nil"/>
              <w:left w:val="single" w:sz="8" w:space="0" w:color="auto"/>
              <w:bottom w:val="single" w:sz="8" w:space="0" w:color="auto"/>
              <w:right w:val="nil"/>
            </w:tcBorders>
            <w:tcMar>
              <w:top w:w="0" w:type="dxa"/>
              <w:left w:w="70" w:type="dxa"/>
              <w:bottom w:w="0" w:type="dxa"/>
              <w:right w:w="70" w:type="dxa"/>
            </w:tcMar>
            <w:hideMark/>
          </w:tcPr>
          <w:p w:rsidR="00357B11" w:rsidRPr="00357B11" w:rsidRDefault="00357B11">
            <w:pPr>
              <w:rPr>
                <w:rFonts w:ascii="Arial" w:hAnsi="Arial" w:cs="Arial"/>
                <w:color w:val="000000"/>
                <w:sz w:val="20"/>
                <w:szCs w:val="20"/>
              </w:rPr>
            </w:pPr>
            <w:r w:rsidRPr="00357B11">
              <w:rPr>
                <w:rFonts w:ascii="Arial" w:hAnsi="Arial" w:cs="Arial"/>
                <w:color w:val="000000"/>
                <w:sz w:val="20"/>
                <w:szCs w:val="20"/>
              </w:rPr>
              <w:t xml:space="preserve">Pioneer Pekao Investment Management </w:t>
            </w:r>
          </w:p>
        </w:tc>
        <w:tc>
          <w:tcPr>
            <w:tcW w:w="21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9 080 000</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9 080 000</w:t>
            </w:r>
          </w:p>
        </w:tc>
        <w:tc>
          <w:tcPr>
            <w:tcW w:w="23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9,13%</w:t>
            </w:r>
          </w:p>
        </w:tc>
        <w:tc>
          <w:tcPr>
            <w:tcW w:w="20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7,55%</w:t>
            </w:r>
          </w:p>
        </w:tc>
      </w:tr>
      <w:tr w:rsidR="00357B11" w:rsidTr="00357B11">
        <w:trPr>
          <w:trHeight w:val="345"/>
        </w:trPr>
        <w:tc>
          <w:tcPr>
            <w:tcW w:w="1675" w:type="dxa"/>
            <w:tcBorders>
              <w:top w:val="nil"/>
              <w:left w:val="single" w:sz="8" w:space="0" w:color="auto"/>
              <w:bottom w:val="single" w:sz="8" w:space="0" w:color="auto"/>
              <w:right w:val="nil"/>
            </w:tcBorders>
            <w:tcMar>
              <w:top w:w="0" w:type="dxa"/>
              <w:left w:w="70" w:type="dxa"/>
              <w:bottom w:w="0" w:type="dxa"/>
              <w:right w:w="70" w:type="dxa"/>
            </w:tcMar>
            <w:hideMark/>
          </w:tcPr>
          <w:p w:rsidR="00357B11" w:rsidRPr="00357B11" w:rsidRDefault="00357B11">
            <w:pPr>
              <w:rPr>
                <w:rFonts w:ascii="Arial" w:hAnsi="Arial" w:cs="Arial"/>
                <w:color w:val="000000"/>
                <w:sz w:val="20"/>
                <w:szCs w:val="20"/>
              </w:rPr>
            </w:pPr>
            <w:r w:rsidRPr="00357B11">
              <w:rPr>
                <w:rFonts w:ascii="Arial" w:hAnsi="Arial" w:cs="Arial"/>
                <w:color w:val="000000"/>
                <w:sz w:val="20"/>
                <w:szCs w:val="20"/>
              </w:rPr>
              <w:t xml:space="preserve">Akcje własne* </w:t>
            </w:r>
          </w:p>
        </w:tc>
        <w:tc>
          <w:tcPr>
            <w:tcW w:w="21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20 895 055</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0</w:t>
            </w:r>
          </w:p>
        </w:tc>
        <w:tc>
          <w:tcPr>
            <w:tcW w:w="23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0,00%</w:t>
            </w:r>
          </w:p>
        </w:tc>
        <w:tc>
          <w:tcPr>
            <w:tcW w:w="20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17,36%</w:t>
            </w:r>
          </w:p>
        </w:tc>
      </w:tr>
      <w:tr w:rsidR="00357B11" w:rsidTr="00357B11">
        <w:trPr>
          <w:trHeight w:val="675"/>
        </w:trPr>
        <w:tc>
          <w:tcPr>
            <w:tcW w:w="1675" w:type="dxa"/>
            <w:tcBorders>
              <w:top w:val="nil"/>
              <w:left w:val="single" w:sz="8" w:space="0" w:color="auto"/>
              <w:bottom w:val="single" w:sz="8" w:space="0" w:color="auto"/>
              <w:right w:val="nil"/>
            </w:tcBorders>
            <w:tcMar>
              <w:top w:w="0" w:type="dxa"/>
              <w:left w:w="70" w:type="dxa"/>
              <w:bottom w:w="0" w:type="dxa"/>
              <w:right w:w="70" w:type="dxa"/>
            </w:tcMar>
            <w:hideMark/>
          </w:tcPr>
          <w:p w:rsidR="00357B11" w:rsidRPr="00357B11" w:rsidRDefault="00357B11">
            <w:pPr>
              <w:rPr>
                <w:rFonts w:ascii="Arial" w:hAnsi="Arial" w:cs="Arial"/>
                <w:color w:val="000000"/>
                <w:sz w:val="20"/>
                <w:szCs w:val="20"/>
              </w:rPr>
            </w:pPr>
            <w:r w:rsidRPr="00357B11">
              <w:rPr>
                <w:rFonts w:ascii="Arial" w:hAnsi="Arial" w:cs="Arial"/>
                <w:color w:val="000000"/>
                <w:sz w:val="20"/>
                <w:szCs w:val="20"/>
              </w:rPr>
              <w:t xml:space="preserve">Pozostali akcjonariusze </w:t>
            </w:r>
          </w:p>
        </w:tc>
        <w:tc>
          <w:tcPr>
            <w:tcW w:w="21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40 795 562</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40 795 562</w:t>
            </w:r>
          </w:p>
        </w:tc>
        <w:tc>
          <w:tcPr>
            <w:tcW w:w="23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41,03%</w:t>
            </w:r>
          </w:p>
        </w:tc>
        <w:tc>
          <w:tcPr>
            <w:tcW w:w="20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color w:val="000000"/>
                <w:sz w:val="20"/>
                <w:szCs w:val="20"/>
              </w:rPr>
            </w:pPr>
            <w:r w:rsidRPr="00357B11">
              <w:rPr>
                <w:rFonts w:ascii="Arial" w:hAnsi="Arial" w:cs="Arial"/>
                <w:color w:val="000000"/>
                <w:sz w:val="20"/>
                <w:szCs w:val="20"/>
              </w:rPr>
              <w:t>33,90%</w:t>
            </w:r>
          </w:p>
        </w:tc>
      </w:tr>
      <w:tr w:rsidR="00357B11" w:rsidTr="00357B11">
        <w:trPr>
          <w:trHeight w:val="345"/>
        </w:trPr>
        <w:tc>
          <w:tcPr>
            <w:tcW w:w="16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357B11" w:rsidRPr="00357B11" w:rsidRDefault="00357B11">
            <w:pPr>
              <w:rPr>
                <w:rFonts w:ascii="Arial" w:hAnsi="Arial" w:cs="Arial"/>
                <w:b/>
                <w:bCs/>
                <w:color w:val="000000"/>
                <w:sz w:val="20"/>
                <w:szCs w:val="20"/>
              </w:rPr>
            </w:pPr>
            <w:r w:rsidRPr="00357B11">
              <w:rPr>
                <w:rFonts w:ascii="Arial" w:hAnsi="Arial" w:cs="Arial"/>
                <w:b/>
                <w:bCs/>
                <w:color w:val="000000"/>
                <w:sz w:val="20"/>
                <w:szCs w:val="20"/>
              </w:rPr>
              <w:t xml:space="preserve">Razem </w:t>
            </w:r>
          </w:p>
        </w:tc>
        <w:tc>
          <w:tcPr>
            <w:tcW w:w="21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b/>
                <w:bCs/>
                <w:color w:val="000000"/>
                <w:sz w:val="20"/>
                <w:szCs w:val="20"/>
              </w:rPr>
            </w:pPr>
            <w:r w:rsidRPr="00357B11">
              <w:rPr>
                <w:rFonts w:ascii="Arial" w:hAnsi="Arial" w:cs="Arial"/>
                <w:b/>
                <w:bCs/>
                <w:color w:val="000000"/>
                <w:sz w:val="20"/>
                <w:szCs w:val="20"/>
              </w:rPr>
              <w:t>120 328 705</w:t>
            </w:r>
          </w:p>
        </w:tc>
        <w:tc>
          <w:tcPr>
            <w:tcW w:w="198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b/>
                <w:bCs/>
                <w:color w:val="000000"/>
                <w:sz w:val="20"/>
                <w:szCs w:val="20"/>
              </w:rPr>
            </w:pPr>
            <w:r w:rsidRPr="00357B11">
              <w:rPr>
                <w:rFonts w:ascii="Arial" w:hAnsi="Arial" w:cs="Arial"/>
                <w:b/>
                <w:bCs/>
                <w:color w:val="000000"/>
                <w:sz w:val="20"/>
                <w:szCs w:val="20"/>
              </w:rPr>
              <w:t>99 433 650</w:t>
            </w:r>
          </w:p>
        </w:tc>
        <w:tc>
          <w:tcPr>
            <w:tcW w:w="23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b/>
                <w:bCs/>
                <w:color w:val="000000"/>
                <w:sz w:val="20"/>
                <w:szCs w:val="20"/>
              </w:rPr>
            </w:pPr>
            <w:r w:rsidRPr="00357B11">
              <w:rPr>
                <w:rFonts w:ascii="Arial" w:hAnsi="Arial" w:cs="Arial"/>
                <w:b/>
                <w:bCs/>
                <w:color w:val="000000"/>
                <w:sz w:val="20"/>
                <w:szCs w:val="20"/>
              </w:rPr>
              <w:t>100,00%</w:t>
            </w:r>
          </w:p>
        </w:tc>
        <w:tc>
          <w:tcPr>
            <w:tcW w:w="20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57B11" w:rsidRPr="00357B11" w:rsidRDefault="00357B11">
            <w:pPr>
              <w:jc w:val="right"/>
              <w:rPr>
                <w:rFonts w:ascii="Arial" w:hAnsi="Arial" w:cs="Arial"/>
                <w:b/>
                <w:bCs/>
                <w:color w:val="000000"/>
                <w:sz w:val="20"/>
                <w:szCs w:val="20"/>
              </w:rPr>
            </w:pPr>
            <w:r w:rsidRPr="00357B11">
              <w:rPr>
                <w:rFonts w:ascii="Arial" w:hAnsi="Arial" w:cs="Arial"/>
                <w:b/>
                <w:bCs/>
                <w:color w:val="000000"/>
                <w:sz w:val="20"/>
                <w:szCs w:val="20"/>
              </w:rPr>
              <w:t>100,00%</w:t>
            </w:r>
          </w:p>
        </w:tc>
      </w:tr>
      <w:tr w:rsidR="00357B11" w:rsidTr="00357B11">
        <w:trPr>
          <w:trHeight w:val="345"/>
        </w:trPr>
        <w:tc>
          <w:tcPr>
            <w:tcW w:w="10158" w:type="dxa"/>
            <w:gridSpan w:val="5"/>
            <w:tcBorders>
              <w:top w:val="nil"/>
              <w:left w:val="single" w:sz="8" w:space="0" w:color="auto"/>
              <w:bottom w:val="single" w:sz="8" w:space="0" w:color="auto"/>
              <w:right w:val="single" w:sz="8" w:space="0" w:color="000000"/>
            </w:tcBorders>
            <w:tcMar>
              <w:top w:w="0" w:type="dxa"/>
              <w:left w:w="70" w:type="dxa"/>
              <w:bottom w:w="0" w:type="dxa"/>
              <w:right w:w="70" w:type="dxa"/>
            </w:tcMar>
            <w:hideMark/>
          </w:tcPr>
          <w:p w:rsidR="00357B11" w:rsidRPr="00357B11" w:rsidRDefault="00357B11">
            <w:pPr>
              <w:rPr>
                <w:rFonts w:ascii="Arial" w:hAnsi="Arial" w:cs="Arial"/>
                <w:i/>
                <w:iCs/>
                <w:color w:val="000000"/>
                <w:sz w:val="20"/>
                <w:szCs w:val="20"/>
              </w:rPr>
            </w:pPr>
            <w:r w:rsidRPr="00357B11">
              <w:rPr>
                <w:rFonts w:ascii="Arial" w:hAnsi="Arial" w:cs="Arial"/>
                <w:i/>
                <w:iCs/>
                <w:color w:val="000000"/>
                <w:sz w:val="20"/>
                <w:szCs w:val="20"/>
              </w:rPr>
              <w:t xml:space="preserve">*Fundusz nie wykonuje prawa głosu z akcji własnych </w:t>
            </w:r>
          </w:p>
        </w:tc>
      </w:tr>
    </w:tbl>
    <w:p w:rsidR="00B97ED8" w:rsidRPr="00CE7EE5" w:rsidRDefault="00B97ED8" w:rsidP="00CE7EE5">
      <w:pPr>
        <w:pStyle w:val="Zrdo"/>
        <w:spacing w:after="0" w:line="360" w:lineRule="auto"/>
        <w:rPr>
          <w:rFonts w:cs="Arial"/>
          <w:i w:val="0"/>
          <w:iCs/>
          <w:sz w:val="20"/>
        </w:rPr>
      </w:pPr>
      <w:r w:rsidRPr="00CE7EE5">
        <w:rPr>
          <w:rFonts w:cs="Arial"/>
          <w:sz w:val="20"/>
        </w:rPr>
        <w:t>*-udział akcjonariuszy w łącznej ilości głosów wyznaczono bez pominięcia akcji własnych</w:t>
      </w:r>
      <w:r w:rsidRPr="00CE7EE5">
        <w:rPr>
          <w:rFonts w:cs="Arial"/>
          <w:i w:val="0"/>
          <w:iCs/>
          <w:sz w:val="20"/>
        </w:rPr>
        <w:t xml:space="preserve"> ; </w:t>
      </w:r>
    </w:p>
    <w:p w:rsidR="00357B11" w:rsidRDefault="00B97ED8" w:rsidP="00357B11">
      <w:pPr>
        <w:pStyle w:val="Zrdo"/>
        <w:spacing w:after="0" w:line="360" w:lineRule="auto"/>
        <w:rPr>
          <w:rFonts w:cs="Arial"/>
          <w:i w:val="0"/>
          <w:iCs/>
          <w:sz w:val="20"/>
        </w:rPr>
      </w:pPr>
      <w:r w:rsidRPr="00CE7EE5">
        <w:rPr>
          <w:rFonts w:cs="Arial"/>
          <w:i w:val="0"/>
          <w:iCs/>
          <w:sz w:val="20"/>
        </w:rPr>
        <w:t xml:space="preserve">zgodnie z art. 364 Kodeksu spółek handlowych </w:t>
      </w:r>
      <w:r w:rsidR="001609FE">
        <w:rPr>
          <w:rFonts w:cs="Arial"/>
          <w:i w:val="0"/>
          <w:iCs/>
          <w:sz w:val="20"/>
        </w:rPr>
        <w:t xml:space="preserve">Black Lion </w:t>
      </w:r>
      <w:r w:rsidRPr="00CE7EE5">
        <w:rPr>
          <w:rFonts w:cs="Arial"/>
          <w:i w:val="0"/>
          <w:iCs/>
          <w:sz w:val="20"/>
        </w:rPr>
        <w:t>NFI S.A. z posiadanych akcji własnych nie wykonuje prawa głosu</w:t>
      </w:r>
      <w:r w:rsidR="004E343D">
        <w:rPr>
          <w:rFonts w:cs="Arial"/>
          <w:i w:val="0"/>
          <w:iCs/>
          <w:sz w:val="20"/>
        </w:rPr>
        <w:t>.</w:t>
      </w:r>
    </w:p>
    <w:p w:rsidR="004E343D" w:rsidRDefault="004E343D" w:rsidP="00357B11">
      <w:pPr>
        <w:pStyle w:val="Zrdo"/>
        <w:spacing w:after="0" w:line="360" w:lineRule="auto"/>
        <w:rPr>
          <w:rFonts w:cs="Arial"/>
          <w:sz w:val="20"/>
        </w:rPr>
      </w:pPr>
    </w:p>
    <w:p w:rsidR="00B97ED8" w:rsidRPr="00CE7EE5" w:rsidRDefault="00B97ED8" w:rsidP="00357B11">
      <w:pPr>
        <w:pStyle w:val="Zrdo"/>
        <w:spacing w:after="0" w:line="360" w:lineRule="auto"/>
        <w:rPr>
          <w:rFonts w:cs="Arial"/>
          <w:sz w:val="20"/>
        </w:rPr>
      </w:pPr>
      <w:r w:rsidRPr="00CE7EE5">
        <w:rPr>
          <w:rFonts w:cs="Arial"/>
          <w:sz w:val="20"/>
        </w:rPr>
        <w:t>Stan posiadania akcji Funduszu przez osoby zarządzające i nadz</w:t>
      </w:r>
      <w:r w:rsidR="00357B11">
        <w:rPr>
          <w:rFonts w:cs="Arial"/>
          <w:sz w:val="20"/>
        </w:rPr>
        <w:t>orujące na dzień 31 grudnia 2010</w:t>
      </w:r>
      <w:r w:rsidRPr="00CE7EE5">
        <w:rPr>
          <w:rFonts w:cs="Arial"/>
          <w:sz w:val="20"/>
        </w:rPr>
        <w:t xml:space="preserve"> roku</w:t>
      </w:r>
    </w:p>
    <w:p w:rsidR="00B97ED8" w:rsidRPr="00CE7EE5" w:rsidRDefault="00357B11" w:rsidP="00CE7EE5">
      <w:pPr>
        <w:pStyle w:val="Tekstpodstawowy"/>
        <w:spacing w:line="360" w:lineRule="auto"/>
        <w:jc w:val="both"/>
        <w:rPr>
          <w:rFonts w:ascii="Arial" w:hAnsi="Arial" w:cs="Arial"/>
          <w:color w:val="auto"/>
        </w:rPr>
      </w:pPr>
      <w:r>
        <w:rPr>
          <w:rFonts w:ascii="Arial" w:hAnsi="Arial" w:cs="Arial"/>
          <w:color w:val="auto"/>
        </w:rPr>
        <w:t>Na dzień 31 grudnia 2010</w:t>
      </w:r>
      <w:r w:rsidR="00B97ED8" w:rsidRPr="00CE7EE5">
        <w:rPr>
          <w:rFonts w:ascii="Arial" w:hAnsi="Arial" w:cs="Arial"/>
          <w:color w:val="auto"/>
        </w:rPr>
        <w:t xml:space="preserve"> roku w skład Rady Nadzorczej Funduszu wchodzili m.in. Pan </w:t>
      </w:r>
      <w:smartTag w:uri="urn:schemas-microsoft-com:office:smarttags" w:element="PersonName">
        <w:smartTagPr>
          <w:attr w:name="ProductID" w:val="Maciej Wandzel"/>
        </w:smartTagPr>
        <w:r w:rsidR="00B97ED8" w:rsidRPr="00CE7EE5">
          <w:rPr>
            <w:rFonts w:ascii="Arial" w:hAnsi="Arial" w:cs="Arial"/>
            <w:color w:val="auto"/>
          </w:rPr>
          <w:t>Maciej Wandzel</w:t>
        </w:r>
      </w:smartTag>
      <w:r w:rsidR="00B97ED8" w:rsidRPr="00CE7EE5">
        <w:rPr>
          <w:rFonts w:ascii="Arial" w:hAnsi="Arial" w:cs="Arial"/>
          <w:color w:val="auto"/>
        </w:rPr>
        <w:t xml:space="preserve"> i Pan Maciej Zientara, i posiadali:</w:t>
      </w:r>
    </w:p>
    <w:p w:rsidR="00B97ED8" w:rsidRPr="00CE7EE5" w:rsidRDefault="00B97ED8" w:rsidP="00CE7EE5">
      <w:pPr>
        <w:pStyle w:val="Tekstpodstawowy"/>
        <w:numPr>
          <w:ilvl w:val="0"/>
          <w:numId w:val="2"/>
        </w:numPr>
        <w:spacing w:line="360" w:lineRule="auto"/>
        <w:jc w:val="both"/>
        <w:rPr>
          <w:rFonts w:ascii="Arial" w:hAnsi="Arial" w:cs="Arial"/>
          <w:color w:val="auto"/>
        </w:rPr>
      </w:pPr>
      <w:r w:rsidRPr="00CE7EE5">
        <w:rPr>
          <w:rFonts w:ascii="Arial" w:hAnsi="Arial" w:cs="Arial"/>
          <w:color w:val="auto"/>
        </w:rPr>
        <w:t xml:space="preserve">Pan </w:t>
      </w:r>
      <w:smartTag w:uri="urn:schemas-microsoft-com:office:smarttags" w:element="PersonName">
        <w:smartTagPr>
          <w:attr w:name="ProductID" w:val="Maciej Wandzel"/>
        </w:smartTagPr>
        <w:r w:rsidRPr="00CE7EE5">
          <w:rPr>
            <w:rFonts w:ascii="Arial" w:hAnsi="Arial" w:cs="Arial"/>
            <w:color w:val="auto"/>
          </w:rPr>
          <w:t>Maciej Wandzel</w:t>
        </w:r>
      </w:smartTag>
      <w:r w:rsidRPr="00CE7EE5">
        <w:rPr>
          <w:rFonts w:ascii="Arial" w:hAnsi="Arial" w:cs="Arial"/>
          <w:color w:val="auto"/>
        </w:rPr>
        <w:t xml:space="preserve"> posiadał poprzez Spółkę zależną Novakonstelacja </w:t>
      </w:r>
      <w:r w:rsidR="00357B11" w:rsidRPr="00357B11">
        <w:rPr>
          <w:rFonts w:ascii="Arial" w:hAnsi="Arial" w:cs="Arial"/>
          <w:color w:val="000000"/>
        </w:rPr>
        <w:t>33 379</w:t>
      </w:r>
      <w:r w:rsidR="00357B11">
        <w:rPr>
          <w:rFonts w:ascii="Arial" w:hAnsi="Arial" w:cs="Arial"/>
          <w:color w:val="000000"/>
        </w:rPr>
        <w:t> </w:t>
      </w:r>
      <w:r w:rsidR="00357B11" w:rsidRPr="00357B11">
        <w:rPr>
          <w:rFonts w:ascii="Arial" w:hAnsi="Arial" w:cs="Arial"/>
          <w:color w:val="000000"/>
        </w:rPr>
        <w:t>765</w:t>
      </w:r>
      <w:r w:rsidR="00357B11">
        <w:rPr>
          <w:rFonts w:ascii="Arial" w:hAnsi="Arial" w:cs="Arial"/>
          <w:color w:val="000000"/>
        </w:rPr>
        <w:t xml:space="preserve"> </w:t>
      </w:r>
      <w:r w:rsidRPr="00CE7EE5">
        <w:rPr>
          <w:rFonts w:ascii="Arial" w:hAnsi="Arial" w:cs="Arial"/>
          <w:color w:val="auto"/>
        </w:rPr>
        <w:t>akcji Funduszu.</w:t>
      </w:r>
    </w:p>
    <w:p w:rsidR="00B97ED8" w:rsidRPr="00CE7EE5" w:rsidRDefault="00B97ED8" w:rsidP="00CE7EE5">
      <w:pPr>
        <w:pStyle w:val="Tekstpodstawowy"/>
        <w:numPr>
          <w:ilvl w:val="0"/>
          <w:numId w:val="2"/>
        </w:numPr>
        <w:spacing w:line="360" w:lineRule="auto"/>
        <w:jc w:val="both"/>
        <w:rPr>
          <w:rFonts w:ascii="Arial" w:hAnsi="Arial" w:cs="Arial"/>
          <w:color w:val="auto"/>
        </w:rPr>
      </w:pPr>
      <w:r w:rsidRPr="00CE7EE5">
        <w:rPr>
          <w:rFonts w:ascii="Arial" w:hAnsi="Arial" w:cs="Arial"/>
          <w:color w:val="auto"/>
        </w:rPr>
        <w:t xml:space="preserve">Pan Maciej Zientara posiadał poprzez Spółkę zależną Superkonstelacja </w:t>
      </w:r>
      <w:r w:rsidR="00357B11" w:rsidRPr="00357B11">
        <w:rPr>
          <w:rFonts w:ascii="Arial" w:hAnsi="Arial" w:cs="Arial"/>
          <w:color w:val="000000"/>
        </w:rPr>
        <w:t>16 178</w:t>
      </w:r>
      <w:r w:rsidR="00357B11">
        <w:rPr>
          <w:rFonts w:ascii="Arial" w:hAnsi="Arial" w:cs="Arial"/>
          <w:color w:val="000000"/>
        </w:rPr>
        <w:t> </w:t>
      </w:r>
      <w:r w:rsidR="00357B11" w:rsidRPr="00357B11">
        <w:rPr>
          <w:rFonts w:ascii="Arial" w:hAnsi="Arial" w:cs="Arial"/>
          <w:color w:val="000000"/>
        </w:rPr>
        <w:t>323</w:t>
      </w:r>
      <w:r w:rsidR="00357B11">
        <w:rPr>
          <w:rFonts w:ascii="Arial" w:hAnsi="Arial" w:cs="Arial"/>
          <w:color w:val="000000"/>
        </w:rPr>
        <w:t xml:space="preserve"> </w:t>
      </w:r>
      <w:r w:rsidRPr="00CE7EE5">
        <w:rPr>
          <w:rFonts w:ascii="Arial" w:hAnsi="Arial" w:cs="Arial"/>
          <w:color w:val="auto"/>
        </w:rPr>
        <w:t>akcji Funduszu.</w:t>
      </w:r>
    </w:p>
    <w:p w:rsidR="00B97ED8" w:rsidRPr="00CE7EE5" w:rsidRDefault="00357B11" w:rsidP="00CE7EE5">
      <w:pPr>
        <w:widowControl w:val="0"/>
        <w:tabs>
          <w:tab w:val="left" w:pos="2414"/>
        </w:tabs>
        <w:spacing w:after="0" w:line="360" w:lineRule="auto"/>
        <w:jc w:val="both"/>
        <w:rPr>
          <w:rFonts w:ascii="Arial" w:hAnsi="Arial" w:cs="Arial"/>
          <w:sz w:val="20"/>
          <w:szCs w:val="20"/>
        </w:rPr>
      </w:pPr>
      <w:r>
        <w:rPr>
          <w:rFonts w:ascii="Arial" w:hAnsi="Arial" w:cs="Arial"/>
          <w:sz w:val="20"/>
          <w:szCs w:val="20"/>
        </w:rPr>
        <w:t>Na dzień 31 grudnia 2010</w:t>
      </w:r>
      <w:r w:rsidR="00B97ED8" w:rsidRPr="00CE7EE5">
        <w:rPr>
          <w:rFonts w:ascii="Arial" w:hAnsi="Arial" w:cs="Arial"/>
          <w:sz w:val="20"/>
          <w:szCs w:val="20"/>
        </w:rPr>
        <w:t xml:space="preserve"> roku osoby zarządzające Funduszem posiadały akcj</w:t>
      </w:r>
      <w:r>
        <w:rPr>
          <w:rFonts w:ascii="Arial" w:hAnsi="Arial" w:cs="Arial"/>
          <w:sz w:val="20"/>
          <w:szCs w:val="20"/>
        </w:rPr>
        <w:t>e Funduszu</w:t>
      </w:r>
      <w:r w:rsidR="00B97ED8" w:rsidRPr="00CE7EE5">
        <w:rPr>
          <w:rFonts w:ascii="Arial" w:hAnsi="Arial" w:cs="Arial"/>
          <w:sz w:val="20"/>
          <w:szCs w:val="20"/>
        </w:rPr>
        <w:t>.</w:t>
      </w:r>
    </w:p>
    <w:p w:rsidR="00B97ED8" w:rsidRPr="00004806" w:rsidRDefault="00B97ED8" w:rsidP="00CE7EE5">
      <w:pPr>
        <w:pStyle w:val="Tekstpodstawowy"/>
        <w:numPr>
          <w:ilvl w:val="0"/>
          <w:numId w:val="2"/>
        </w:numPr>
        <w:spacing w:line="360" w:lineRule="auto"/>
        <w:jc w:val="both"/>
        <w:rPr>
          <w:rFonts w:ascii="Arial" w:hAnsi="Arial" w:cs="Arial"/>
          <w:color w:val="auto"/>
        </w:rPr>
      </w:pPr>
      <w:r w:rsidRPr="00CE7EE5">
        <w:rPr>
          <w:rFonts w:ascii="Arial" w:hAnsi="Arial" w:cs="Arial"/>
          <w:color w:val="auto"/>
        </w:rPr>
        <w:t xml:space="preserve">Pan Rafał </w:t>
      </w:r>
      <w:r w:rsidRPr="00004806">
        <w:rPr>
          <w:rFonts w:ascii="Arial" w:hAnsi="Arial" w:cs="Arial"/>
          <w:color w:val="auto"/>
        </w:rPr>
        <w:t xml:space="preserve">Bauer posiadał </w:t>
      </w:r>
      <w:r w:rsidR="00357B11" w:rsidRPr="00357B11">
        <w:rPr>
          <w:rFonts w:ascii="Arial" w:hAnsi="Arial" w:cs="Arial"/>
          <w:color w:val="auto"/>
        </w:rPr>
        <w:t>3 136</w:t>
      </w:r>
      <w:r w:rsidR="00357B11" w:rsidRPr="00357B11">
        <w:rPr>
          <w:rFonts w:ascii="Arial" w:hAnsi="Arial" w:cs="Arial" w:hint="eastAsia"/>
          <w:color w:val="auto"/>
        </w:rPr>
        <w:t> </w:t>
      </w:r>
      <w:r w:rsidR="00357B11" w:rsidRPr="00357B11">
        <w:rPr>
          <w:rFonts w:ascii="Arial" w:hAnsi="Arial" w:cs="Arial"/>
          <w:color w:val="auto"/>
        </w:rPr>
        <w:t xml:space="preserve">537 </w:t>
      </w:r>
      <w:r w:rsidR="00004806" w:rsidRPr="00004806">
        <w:rPr>
          <w:rFonts w:ascii="Arial" w:hAnsi="Arial" w:cs="Arial"/>
          <w:color w:val="auto"/>
        </w:rPr>
        <w:t xml:space="preserve"> </w:t>
      </w:r>
      <w:r w:rsidRPr="00004806">
        <w:rPr>
          <w:rFonts w:ascii="Arial" w:hAnsi="Arial" w:cs="Arial"/>
          <w:color w:val="auto"/>
        </w:rPr>
        <w:t>akcji Funduszu.</w:t>
      </w:r>
    </w:p>
    <w:p w:rsidR="00B97ED8" w:rsidRPr="00CE7EE5" w:rsidRDefault="00B97ED8" w:rsidP="00CE7EE5">
      <w:pPr>
        <w:widowControl w:val="0"/>
        <w:tabs>
          <w:tab w:val="left" w:pos="2414"/>
        </w:tabs>
        <w:spacing w:after="0" w:line="360" w:lineRule="auto"/>
        <w:jc w:val="both"/>
        <w:rPr>
          <w:rFonts w:ascii="Arial" w:hAnsi="Arial" w:cs="Arial"/>
          <w:sz w:val="20"/>
          <w:szCs w:val="20"/>
        </w:rPr>
      </w:pPr>
      <w:r w:rsidRPr="00CE7EE5">
        <w:rPr>
          <w:rFonts w:ascii="Arial" w:hAnsi="Arial" w:cs="Arial"/>
          <w:sz w:val="20"/>
          <w:szCs w:val="20"/>
        </w:rPr>
        <w:t>W stosunku do struktury akcjonariatu przedstawionej na dzień 31 grudnia 20</w:t>
      </w:r>
      <w:r w:rsidR="00357B11">
        <w:rPr>
          <w:rFonts w:ascii="Arial" w:hAnsi="Arial" w:cs="Arial"/>
          <w:sz w:val="20"/>
          <w:szCs w:val="20"/>
        </w:rPr>
        <w:t>10</w:t>
      </w:r>
      <w:r w:rsidRPr="00CE7EE5">
        <w:rPr>
          <w:rFonts w:ascii="Arial" w:hAnsi="Arial" w:cs="Arial"/>
          <w:sz w:val="20"/>
          <w:szCs w:val="20"/>
        </w:rPr>
        <w:t xml:space="preserve"> roku nie nastąpiły zmiany w akcjonariacie Funduszu do daty publikacji poniższego sprawozdania.</w:t>
      </w:r>
    </w:p>
    <w:p w:rsidR="00B97ED8" w:rsidRPr="00CE7EE5" w:rsidRDefault="00B97ED8" w:rsidP="00CE7EE5">
      <w:pPr>
        <w:tabs>
          <w:tab w:val="left" w:pos="680"/>
        </w:tabs>
        <w:autoSpaceDE w:val="0"/>
        <w:autoSpaceDN w:val="0"/>
        <w:adjustRightInd w:val="0"/>
        <w:spacing w:after="0" w:line="360" w:lineRule="auto"/>
        <w:ind w:left="680" w:hanging="272"/>
        <w:jc w:val="both"/>
        <w:rPr>
          <w:rFonts w:ascii="Arial" w:hAnsi="Arial" w:cs="Arial"/>
          <w:sz w:val="20"/>
          <w:szCs w:val="20"/>
        </w:rPr>
      </w:pPr>
    </w:p>
    <w:p w:rsidR="009A6D88" w:rsidRPr="00CE7EE5" w:rsidRDefault="00353440" w:rsidP="00CE7EE5">
      <w:pPr>
        <w:pStyle w:val="Akapitzlist"/>
        <w:numPr>
          <w:ilvl w:val="0"/>
          <w:numId w:val="1"/>
        </w:numPr>
        <w:tabs>
          <w:tab w:val="right" w:pos="0"/>
        </w:tabs>
        <w:autoSpaceDE w:val="0"/>
        <w:autoSpaceDN w:val="0"/>
        <w:adjustRightInd w:val="0"/>
        <w:spacing w:after="0" w:line="360" w:lineRule="auto"/>
        <w:ind w:left="567" w:hanging="567"/>
        <w:jc w:val="both"/>
        <w:rPr>
          <w:rFonts w:ascii="Arial" w:hAnsi="Arial" w:cs="Arial"/>
          <w:b/>
          <w:sz w:val="20"/>
          <w:szCs w:val="20"/>
        </w:rPr>
      </w:pPr>
      <w:r w:rsidRPr="00CE7EE5">
        <w:rPr>
          <w:rFonts w:ascii="Arial" w:hAnsi="Arial" w:cs="Arial"/>
          <w:b/>
          <w:sz w:val="20"/>
          <w:szCs w:val="20"/>
        </w:rPr>
        <w:t>W</w:t>
      </w:r>
      <w:r w:rsidR="009A6D88" w:rsidRPr="00CE7EE5">
        <w:rPr>
          <w:rFonts w:ascii="Arial" w:hAnsi="Arial" w:cs="Arial"/>
          <w:b/>
          <w:sz w:val="20"/>
          <w:szCs w:val="20"/>
        </w:rPr>
        <w:t>skazanie posiadaczy wszelkich papierów wartościowych, które dają specjalne uprawnienia kontrolne, wraz z opisem tych uprawnień,</w:t>
      </w:r>
    </w:p>
    <w:p w:rsidR="00B97ED8" w:rsidRPr="00CE7EE5" w:rsidRDefault="00B97ED8" w:rsidP="000A4AC9">
      <w:pPr>
        <w:pStyle w:val="Akapitzlist"/>
        <w:tabs>
          <w:tab w:val="right" w:pos="0"/>
        </w:tabs>
        <w:autoSpaceDE w:val="0"/>
        <w:autoSpaceDN w:val="0"/>
        <w:adjustRightInd w:val="0"/>
        <w:spacing w:after="0" w:line="360" w:lineRule="auto"/>
        <w:ind w:left="0"/>
        <w:jc w:val="both"/>
        <w:rPr>
          <w:rFonts w:ascii="Arial" w:hAnsi="Arial" w:cs="Arial"/>
          <w:sz w:val="20"/>
          <w:szCs w:val="20"/>
        </w:rPr>
      </w:pPr>
      <w:r w:rsidRPr="00CE7EE5">
        <w:rPr>
          <w:rFonts w:ascii="Arial" w:hAnsi="Arial" w:cs="Arial"/>
          <w:sz w:val="20"/>
          <w:szCs w:val="20"/>
        </w:rPr>
        <w:t>Nie istnieją papiery wartościowe dające specjalne uprawnienia kontrolne w stosunku do Spółki</w:t>
      </w:r>
    </w:p>
    <w:p w:rsidR="00B97ED8" w:rsidRPr="00CE7EE5" w:rsidRDefault="00B97ED8" w:rsidP="00CE7EE5">
      <w:pPr>
        <w:tabs>
          <w:tab w:val="left" w:pos="680"/>
        </w:tabs>
        <w:autoSpaceDE w:val="0"/>
        <w:autoSpaceDN w:val="0"/>
        <w:adjustRightInd w:val="0"/>
        <w:spacing w:after="0" w:line="360" w:lineRule="auto"/>
        <w:ind w:left="680" w:hanging="272"/>
        <w:jc w:val="both"/>
        <w:rPr>
          <w:rFonts w:ascii="Arial" w:hAnsi="Arial" w:cs="Arial"/>
          <w:sz w:val="20"/>
          <w:szCs w:val="20"/>
        </w:rPr>
      </w:pPr>
    </w:p>
    <w:p w:rsidR="009A6D88" w:rsidRPr="00CE7EE5" w:rsidRDefault="00353440" w:rsidP="00CE7EE5">
      <w:pPr>
        <w:pStyle w:val="Akapitzlist"/>
        <w:numPr>
          <w:ilvl w:val="0"/>
          <w:numId w:val="1"/>
        </w:numPr>
        <w:tabs>
          <w:tab w:val="right" w:pos="0"/>
        </w:tabs>
        <w:autoSpaceDE w:val="0"/>
        <w:autoSpaceDN w:val="0"/>
        <w:adjustRightInd w:val="0"/>
        <w:spacing w:after="0" w:line="360" w:lineRule="auto"/>
        <w:ind w:left="567" w:hanging="567"/>
        <w:jc w:val="both"/>
        <w:rPr>
          <w:rFonts w:ascii="Arial" w:hAnsi="Arial" w:cs="Arial"/>
          <w:b/>
          <w:sz w:val="20"/>
          <w:szCs w:val="20"/>
        </w:rPr>
      </w:pPr>
      <w:r w:rsidRPr="00CE7EE5">
        <w:rPr>
          <w:rFonts w:ascii="Arial" w:hAnsi="Arial" w:cs="Arial"/>
          <w:b/>
          <w:sz w:val="20"/>
          <w:szCs w:val="20"/>
        </w:rPr>
        <w:t>W</w:t>
      </w:r>
      <w:r w:rsidR="009A6D88" w:rsidRPr="00CE7EE5">
        <w:rPr>
          <w:rFonts w:ascii="Arial" w:hAnsi="Arial" w:cs="Arial"/>
          <w:b/>
          <w:sz w:val="20"/>
          <w:szCs w:val="20"/>
        </w:rPr>
        <w:t>skazanie wszelkich ograniczeń odnośnie do wykonywania prawa głosu, takich jak ograniczenie wykonywania prawa głosu przez posiadaczy określonej części lub liczby głosów, ograniczenia czasowe dotyczące wykonywania prawa głosu lub zapisy, zgodnie z którymi, przy współpracy spółki, prawa kapitałowe związane z papierami wartościowymi są oddzielone od po</w:t>
      </w:r>
      <w:r w:rsidR="00B97ED8" w:rsidRPr="00CE7EE5">
        <w:rPr>
          <w:rFonts w:ascii="Arial" w:hAnsi="Arial" w:cs="Arial"/>
          <w:b/>
          <w:sz w:val="20"/>
          <w:szCs w:val="20"/>
        </w:rPr>
        <w:t>siadania papierów wartościowych.</w:t>
      </w:r>
    </w:p>
    <w:p w:rsidR="00B97ED8" w:rsidRPr="00CE7EE5" w:rsidRDefault="00A11744" w:rsidP="000A4AC9">
      <w:pPr>
        <w:pStyle w:val="Akapitzlist"/>
        <w:tabs>
          <w:tab w:val="right" w:pos="0"/>
        </w:tabs>
        <w:autoSpaceDE w:val="0"/>
        <w:autoSpaceDN w:val="0"/>
        <w:adjustRightInd w:val="0"/>
        <w:spacing w:after="0" w:line="360" w:lineRule="auto"/>
        <w:ind w:left="0"/>
        <w:jc w:val="both"/>
        <w:rPr>
          <w:rFonts w:ascii="Arial" w:hAnsi="Arial" w:cs="Arial"/>
          <w:sz w:val="20"/>
          <w:szCs w:val="20"/>
        </w:rPr>
      </w:pPr>
      <w:r w:rsidRPr="00CE7EE5">
        <w:rPr>
          <w:rFonts w:ascii="Arial" w:hAnsi="Arial" w:cs="Arial"/>
          <w:sz w:val="20"/>
          <w:szCs w:val="20"/>
        </w:rPr>
        <w:t xml:space="preserve">Z akcjami Funduszu nie wiążą się żadne ograniczenia statutowe bądź ustawowe w wykonywaniu prawa głosu, z zastrzeżeniem że zgodnie z art. 364 § 2 kodeksu spółek handlowych, Fundusz nie wykonuje praw udziałowych z własnych akcji z wyjątkiem wykonywania czynności które zmierzają do zbycia akcji lub zachowania wynikających z nich praw. </w:t>
      </w:r>
    </w:p>
    <w:p w:rsidR="00B97ED8" w:rsidRDefault="00B97ED8" w:rsidP="00CE7EE5">
      <w:pPr>
        <w:pStyle w:val="Akapitzlist"/>
        <w:tabs>
          <w:tab w:val="right" w:pos="0"/>
        </w:tabs>
        <w:autoSpaceDE w:val="0"/>
        <w:autoSpaceDN w:val="0"/>
        <w:adjustRightInd w:val="0"/>
        <w:spacing w:after="0" w:line="360" w:lineRule="auto"/>
        <w:ind w:left="567"/>
        <w:jc w:val="both"/>
        <w:rPr>
          <w:rFonts w:ascii="Arial" w:hAnsi="Arial" w:cs="Arial"/>
          <w:sz w:val="20"/>
          <w:szCs w:val="20"/>
        </w:rPr>
      </w:pPr>
    </w:p>
    <w:p w:rsidR="004E343D" w:rsidRPr="00CE7EE5" w:rsidRDefault="004E343D" w:rsidP="00CE7EE5">
      <w:pPr>
        <w:pStyle w:val="Akapitzlist"/>
        <w:tabs>
          <w:tab w:val="right" w:pos="0"/>
        </w:tabs>
        <w:autoSpaceDE w:val="0"/>
        <w:autoSpaceDN w:val="0"/>
        <w:adjustRightInd w:val="0"/>
        <w:spacing w:after="0" w:line="360" w:lineRule="auto"/>
        <w:ind w:left="567"/>
        <w:jc w:val="both"/>
        <w:rPr>
          <w:rFonts w:ascii="Arial" w:hAnsi="Arial" w:cs="Arial"/>
          <w:sz w:val="20"/>
          <w:szCs w:val="20"/>
        </w:rPr>
      </w:pPr>
    </w:p>
    <w:p w:rsidR="009A6D88" w:rsidRPr="00CE7EE5" w:rsidRDefault="00353440" w:rsidP="00CE7EE5">
      <w:pPr>
        <w:pStyle w:val="Akapitzlist"/>
        <w:numPr>
          <w:ilvl w:val="0"/>
          <w:numId w:val="1"/>
        </w:numPr>
        <w:tabs>
          <w:tab w:val="right" w:pos="0"/>
        </w:tabs>
        <w:autoSpaceDE w:val="0"/>
        <w:autoSpaceDN w:val="0"/>
        <w:adjustRightInd w:val="0"/>
        <w:spacing w:after="0" w:line="360" w:lineRule="auto"/>
        <w:ind w:left="567" w:hanging="567"/>
        <w:jc w:val="both"/>
        <w:rPr>
          <w:rFonts w:ascii="Arial" w:hAnsi="Arial" w:cs="Arial"/>
          <w:sz w:val="20"/>
          <w:szCs w:val="20"/>
        </w:rPr>
      </w:pPr>
      <w:r w:rsidRPr="00CE7EE5">
        <w:rPr>
          <w:rFonts w:ascii="Arial" w:hAnsi="Arial" w:cs="Arial"/>
          <w:b/>
          <w:sz w:val="20"/>
          <w:szCs w:val="20"/>
        </w:rPr>
        <w:t>W</w:t>
      </w:r>
      <w:r w:rsidR="009A6D88" w:rsidRPr="00CE7EE5">
        <w:rPr>
          <w:rFonts w:ascii="Arial" w:hAnsi="Arial" w:cs="Arial"/>
          <w:b/>
          <w:sz w:val="20"/>
          <w:szCs w:val="20"/>
        </w:rPr>
        <w:t>skazanie wszelkich ograniczeń dotyczących przenoszenia prawa własności papierów wartościowych emitenta</w:t>
      </w:r>
      <w:r w:rsidRPr="00CE7EE5">
        <w:rPr>
          <w:rFonts w:ascii="Arial" w:hAnsi="Arial" w:cs="Arial"/>
          <w:sz w:val="20"/>
          <w:szCs w:val="20"/>
        </w:rPr>
        <w:t>.</w:t>
      </w:r>
    </w:p>
    <w:p w:rsidR="00353440" w:rsidRPr="00CE7EE5" w:rsidRDefault="00353440" w:rsidP="000A4AC9">
      <w:pPr>
        <w:pStyle w:val="Akapitzlist"/>
        <w:tabs>
          <w:tab w:val="right" w:pos="0"/>
        </w:tabs>
        <w:autoSpaceDE w:val="0"/>
        <w:autoSpaceDN w:val="0"/>
        <w:adjustRightInd w:val="0"/>
        <w:spacing w:after="0" w:line="360" w:lineRule="auto"/>
        <w:ind w:left="0"/>
        <w:jc w:val="both"/>
        <w:rPr>
          <w:rFonts w:ascii="Arial" w:hAnsi="Arial" w:cs="Arial"/>
          <w:sz w:val="20"/>
          <w:szCs w:val="20"/>
        </w:rPr>
      </w:pPr>
      <w:r w:rsidRPr="00CE7EE5">
        <w:rPr>
          <w:rFonts w:ascii="Arial" w:hAnsi="Arial" w:cs="Arial"/>
          <w:sz w:val="20"/>
          <w:szCs w:val="20"/>
        </w:rPr>
        <w:t>Z akcjami Funduszu nie wiążą się żadne ograniczenia dotyczące przenoszenia praw własności.</w:t>
      </w:r>
      <w:r w:rsidR="00B9789E" w:rsidRPr="00CE7EE5">
        <w:rPr>
          <w:rFonts w:ascii="Arial" w:hAnsi="Arial" w:cs="Arial"/>
          <w:sz w:val="20"/>
          <w:szCs w:val="20"/>
        </w:rPr>
        <w:t xml:space="preserve"> </w:t>
      </w:r>
    </w:p>
    <w:p w:rsidR="00353440" w:rsidRPr="00CE7EE5" w:rsidRDefault="00353440" w:rsidP="00CE7EE5">
      <w:pPr>
        <w:pStyle w:val="Akapitzlist"/>
        <w:tabs>
          <w:tab w:val="right" w:pos="0"/>
        </w:tabs>
        <w:autoSpaceDE w:val="0"/>
        <w:autoSpaceDN w:val="0"/>
        <w:adjustRightInd w:val="0"/>
        <w:spacing w:after="0" w:line="360" w:lineRule="auto"/>
        <w:ind w:left="567"/>
        <w:jc w:val="both"/>
        <w:rPr>
          <w:rFonts w:ascii="Arial" w:hAnsi="Arial" w:cs="Arial"/>
          <w:sz w:val="20"/>
          <w:szCs w:val="20"/>
        </w:rPr>
      </w:pPr>
    </w:p>
    <w:p w:rsidR="009A6D88" w:rsidRPr="00CE7EE5" w:rsidRDefault="00B9789E" w:rsidP="00CE7EE5">
      <w:pPr>
        <w:pStyle w:val="Akapitzlist"/>
        <w:numPr>
          <w:ilvl w:val="0"/>
          <w:numId w:val="1"/>
        </w:numPr>
        <w:tabs>
          <w:tab w:val="right" w:pos="0"/>
        </w:tabs>
        <w:autoSpaceDE w:val="0"/>
        <w:autoSpaceDN w:val="0"/>
        <w:adjustRightInd w:val="0"/>
        <w:spacing w:after="0" w:line="360" w:lineRule="auto"/>
        <w:ind w:left="567" w:hanging="567"/>
        <w:jc w:val="both"/>
        <w:rPr>
          <w:rFonts w:ascii="Arial" w:hAnsi="Arial" w:cs="Arial"/>
          <w:b/>
          <w:sz w:val="20"/>
          <w:szCs w:val="20"/>
        </w:rPr>
      </w:pPr>
      <w:r w:rsidRPr="00CE7EE5">
        <w:rPr>
          <w:rFonts w:ascii="Arial" w:hAnsi="Arial" w:cs="Arial"/>
          <w:b/>
          <w:sz w:val="20"/>
          <w:szCs w:val="20"/>
        </w:rPr>
        <w:t>O</w:t>
      </w:r>
      <w:r w:rsidR="009A6D88" w:rsidRPr="00CE7EE5">
        <w:rPr>
          <w:rFonts w:ascii="Arial" w:hAnsi="Arial" w:cs="Arial"/>
          <w:b/>
          <w:sz w:val="20"/>
          <w:szCs w:val="20"/>
        </w:rPr>
        <w:t>pis zasad dotyczących powoływania i odwoływania osób zarządzających oraz ich uprawnień, w szczególności prawo do podjęcia dec</w:t>
      </w:r>
      <w:r w:rsidRPr="00CE7EE5">
        <w:rPr>
          <w:rFonts w:ascii="Arial" w:hAnsi="Arial" w:cs="Arial"/>
          <w:b/>
          <w:sz w:val="20"/>
          <w:szCs w:val="20"/>
        </w:rPr>
        <w:t>yzji o emisji lub wykupie akcji.</w:t>
      </w:r>
    </w:p>
    <w:p w:rsidR="00B9789E" w:rsidRPr="00CE7EE5" w:rsidRDefault="00B9789E" w:rsidP="00CE7EE5">
      <w:pPr>
        <w:tabs>
          <w:tab w:val="right" w:leader="hyphen" w:pos="8789"/>
        </w:tabs>
        <w:spacing w:after="0" w:line="360" w:lineRule="auto"/>
        <w:jc w:val="both"/>
        <w:rPr>
          <w:rFonts w:ascii="Arial" w:hAnsi="Arial" w:cs="Arial"/>
          <w:color w:val="000000"/>
          <w:sz w:val="20"/>
          <w:szCs w:val="20"/>
        </w:rPr>
      </w:pPr>
      <w:r w:rsidRPr="00CE7EE5">
        <w:rPr>
          <w:rFonts w:ascii="Arial" w:hAnsi="Arial" w:cs="Arial"/>
          <w:color w:val="000000"/>
          <w:sz w:val="20"/>
          <w:szCs w:val="20"/>
        </w:rPr>
        <w:t xml:space="preserve">Zgodnie ze Statutem Spółki </w:t>
      </w:r>
      <w:r w:rsidR="00CB6417" w:rsidRPr="00CE7EE5">
        <w:rPr>
          <w:rFonts w:ascii="Arial" w:hAnsi="Arial" w:cs="Arial"/>
          <w:color w:val="000000"/>
          <w:sz w:val="20"/>
          <w:szCs w:val="20"/>
        </w:rPr>
        <w:t xml:space="preserve">Zarząd składa się z od jednego do trzech członków, w tym Prezesa Zarządu, powoływanych na wspólna dwuletnią kadencję. Rada Nadzorcza określa w powyższych granicach liczebność Zarządu oraz powołuje Prezesa i pozostałych członków Zarządu. Rada Nadzorcza lub Walne Zgromadzenie może odwołać cały skład Zarządu lub poszczególnych jego członków, w tym Prezesa Zarządu, przed upływem kadencji. </w:t>
      </w:r>
      <w:r w:rsidRPr="00CE7EE5">
        <w:rPr>
          <w:rFonts w:ascii="Arial" w:hAnsi="Arial" w:cs="Arial"/>
          <w:color w:val="000000"/>
          <w:sz w:val="20"/>
          <w:szCs w:val="20"/>
        </w:rPr>
        <w:t xml:space="preserve">Każdy z członków Zarządu może być wybrany na następną kadencję. Mandaty członków Zarządu wygasają najpóźniej z dniem odbycia Walnego Zgromadzenia Zatwierdzającego sprawozdanie finansowe Spółki za ostatni pełny rok obrotowy pełnienia funkcji członka Zarządu. </w:t>
      </w:r>
    </w:p>
    <w:p w:rsidR="00B9789E" w:rsidRPr="00CE7EE5" w:rsidRDefault="00B9789E" w:rsidP="00CE7EE5">
      <w:pPr>
        <w:autoSpaceDE w:val="0"/>
        <w:autoSpaceDN w:val="0"/>
        <w:adjustRightInd w:val="0"/>
        <w:spacing w:after="0" w:line="360" w:lineRule="auto"/>
        <w:jc w:val="both"/>
        <w:rPr>
          <w:rFonts w:ascii="Arial" w:hAnsi="Arial" w:cs="Arial"/>
          <w:color w:val="000000"/>
          <w:sz w:val="20"/>
          <w:szCs w:val="20"/>
        </w:rPr>
      </w:pPr>
      <w:r w:rsidRPr="00CE7EE5">
        <w:rPr>
          <w:rFonts w:ascii="Arial" w:hAnsi="Arial" w:cs="Arial"/>
          <w:color w:val="000000"/>
          <w:sz w:val="20"/>
          <w:szCs w:val="20"/>
        </w:rPr>
        <w:t>Zgodnie ze Statutem Spółki</w:t>
      </w:r>
      <w:r w:rsidR="00B93CF2" w:rsidRPr="00CE7EE5">
        <w:rPr>
          <w:rFonts w:ascii="Arial" w:hAnsi="Arial" w:cs="Arial"/>
          <w:color w:val="000000"/>
          <w:sz w:val="20"/>
          <w:szCs w:val="20"/>
        </w:rPr>
        <w:t xml:space="preserve"> i przepisami kodeksu spółek handlowych</w:t>
      </w:r>
      <w:r w:rsidRPr="00CE7EE5">
        <w:rPr>
          <w:rFonts w:ascii="Arial" w:hAnsi="Arial" w:cs="Arial"/>
          <w:color w:val="000000"/>
          <w:sz w:val="20"/>
          <w:szCs w:val="20"/>
        </w:rPr>
        <w:t>, Zarząd kieruje działalnością Spółki, zarządza jej majątkiem oraz reprezentuje Spółkę na zewnątrz, w zakresie wszystkich spraw niezastrzeżonych do kompetencji Rady Nadzorczej i Walnego Zgromadzenia. Członkowie Zarządu pełnią s</w:t>
      </w:r>
      <w:r w:rsidR="001609FE">
        <w:rPr>
          <w:rFonts w:ascii="Arial" w:hAnsi="Arial" w:cs="Arial"/>
          <w:color w:val="000000"/>
          <w:sz w:val="20"/>
          <w:szCs w:val="20"/>
        </w:rPr>
        <w:t>woje obowiązki osobiście.</w:t>
      </w:r>
      <w:r w:rsidRPr="00CE7EE5">
        <w:rPr>
          <w:rFonts w:ascii="Arial" w:hAnsi="Arial" w:cs="Arial"/>
          <w:color w:val="000000"/>
          <w:sz w:val="20"/>
          <w:szCs w:val="20"/>
        </w:rPr>
        <w:t xml:space="preserve"> </w:t>
      </w:r>
    </w:p>
    <w:p w:rsidR="00B9789E" w:rsidRPr="00CE7EE5" w:rsidRDefault="00B9789E" w:rsidP="00CE7EE5">
      <w:pPr>
        <w:autoSpaceDE w:val="0"/>
        <w:autoSpaceDN w:val="0"/>
        <w:adjustRightInd w:val="0"/>
        <w:spacing w:after="0" w:line="360" w:lineRule="auto"/>
        <w:rPr>
          <w:rFonts w:ascii="Arial" w:hAnsi="Arial" w:cs="Arial"/>
          <w:color w:val="000000"/>
          <w:sz w:val="20"/>
          <w:szCs w:val="20"/>
        </w:rPr>
      </w:pPr>
      <w:r w:rsidRPr="00CE7EE5">
        <w:rPr>
          <w:rFonts w:ascii="Arial" w:hAnsi="Arial" w:cs="Arial"/>
          <w:color w:val="000000"/>
          <w:sz w:val="20"/>
          <w:szCs w:val="20"/>
        </w:rPr>
        <w:t>Regulamin Zarządu dostępny jest na stronie internetowej</w:t>
      </w:r>
      <w:r w:rsidR="00B93CF2" w:rsidRPr="00CE7EE5">
        <w:rPr>
          <w:rFonts w:ascii="Arial" w:hAnsi="Arial" w:cs="Arial"/>
          <w:color w:val="000000"/>
          <w:sz w:val="20"/>
          <w:szCs w:val="20"/>
        </w:rPr>
        <w:t xml:space="preserve"> Funduszu www.</w:t>
      </w:r>
      <w:r w:rsidR="00357B11">
        <w:rPr>
          <w:rFonts w:ascii="Arial" w:hAnsi="Arial" w:cs="Arial"/>
          <w:color w:val="000000"/>
          <w:sz w:val="20"/>
          <w:szCs w:val="20"/>
        </w:rPr>
        <w:t>blacklion</w:t>
      </w:r>
      <w:r w:rsidR="00B93CF2" w:rsidRPr="00CE7EE5">
        <w:rPr>
          <w:rFonts w:ascii="Arial" w:hAnsi="Arial" w:cs="Arial"/>
          <w:color w:val="000000"/>
          <w:sz w:val="20"/>
          <w:szCs w:val="20"/>
        </w:rPr>
        <w:t>.com.pl, w</w:t>
      </w:r>
      <w:r w:rsidRPr="00CE7EE5">
        <w:rPr>
          <w:rFonts w:ascii="Arial" w:hAnsi="Arial" w:cs="Arial"/>
          <w:color w:val="000000"/>
          <w:sz w:val="20"/>
          <w:szCs w:val="20"/>
        </w:rPr>
        <w:t xml:space="preserve"> </w:t>
      </w:r>
      <w:r w:rsidR="00B93CF2" w:rsidRPr="00CE7EE5">
        <w:rPr>
          <w:rFonts w:ascii="Arial" w:hAnsi="Arial" w:cs="Arial"/>
          <w:color w:val="000000"/>
          <w:sz w:val="20"/>
          <w:szCs w:val="20"/>
        </w:rPr>
        <w:t>zakładce Relacje inwestorskie</w:t>
      </w:r>
      <w:r w:rsidR="001609FE">
        <w:rPr>
          <w:rFonts w:ascii="Arial" w:hAnsi="Arial" w:cs="Arial"/>
          <w:color w:val="000000"/>
          <w:sz w:val="20"/>
          <w:szCs w:val="20"/>
        </w:rPr>
        <w:t>.</w:t>
      </w:r>
    </w:p>
    <w:p w:rsidR="00B93CF2" w:rsidRPr="00CE7EE5" w:rsidRDefault="00B9789E" w:rsidP="00CE7EE5">
      <w:pPr>
        <w:pStyle w:val="Tekstpodstawowy"/>
        <w:tabs>
          <w:tab w:val="left" w:leader="hyphen" w:pos="0"/>
          <w:tab w:val="right" w:leader="hyphen" w:pos="8789"/>
        </w:tabs>
        <w:spacing w:line="360" w:lineRule="auto"/>
        <w:jc w:val="both"/>
        <w:rPr>
          <w:rFonts w:ascii="Arial" w:hAnsi="Arial" w:cs="Arial"/>
          <w:color w:val="auto"/>
        </w:rPr>
      </w:pPr>
      <w:r w:rsidRPr="00CE7EE5">
        <w:rPr>
          <w:rFonts w:ascii="Arial" w:hAnsi="Arial" w:cs="Arial"/>
          <w:color w:val="000000"/>
        </w:rPr>
        <w:t>Osoby zarządzające nie mają prawa do podjęcia decyzji o emisji lub wykupie akcji</w:t>
      </w:r>
      <w:r w:rsidR="00B93CF2" w:rsidRPr="00CE7EE5">
        <w:rPr>
          <w:rFonts w:ascii="Arial" w:hAnsi="Arial" w:cs="Arial"/>
          <w:color w:val="000000"/>
        </w:rPr>
        <w:t xml:space="preserve"> z zastrzeżeniem, że Zarząd Funduszu upoważniony jest do podwyższenia kapitału zakładowego </w:t>
      </w:r>
      <w:r w:rsidR="003973B3" w:rsidRPr="00CE7EE5">
        <w:rPr>
          <w:rFonts w:ascii="Arial" w:hAnsi="Arial" w:cs="Arial"/>
          <w:color w:val="000000"/>
        </w:rPr>
        <w:t xml:space="preserve">Zarząd Funduszu w granicach kapitału docelowego </w:t>
      </w:r>
      <w:r w:rsidR="00AC1FB0" w:rsidRPr="00CE7EE5">
        <w:rPr>
          <w:rFonts w:ascii="Arial" w:hAnsi="Arial" w:cs="Arial"/>
          <w:color w:val="000000"/>
        </w:rPr>
        <w:t xml:space="preserve">w okresie </w:t>
      </w:r>
      <w:r w:rsidR="003973B3" w:rsidRPr="00CE7EE5">
        <w:rPr>
          <w:rFonts w:ascii="Arial" w:hAnsi="Arial" w:cs="Arial"/>
          <w:color w:val="000000"/>
        </w:rPr>
        <w:t>do dnia 31 sierpnia 2011 r.,</w:t>
      </w:r>
      <w:r w:rsidR="00AC1FB0" w:rsidRPr="00CE7EE5">
        <w:rPr>
          <w:rFonts w:ascii="Arial" w:hAnsi="Arial" w:cs="Arial"/>
          <w:color w:val="000000"/>
        </w:rPr>
        <w:t xml:space="preserve"> </w:t>
      </w:r>
      <w:r w:rsidR="003973B3" w:rsidRPr="00CE7EE5">
        <w:rPr>
          <w:rFonts w:ascii="Arial" w:hAnsi="Arial" w:cs="Arial"/>
          <w:color w:val="000000"/>
        </w:rPr>
        <w:t>w ramach którego może wyemitować łącznie 12.952.879 akcji z czego 4.952.879 akcji imiennych serii D o wartości nominalnej 10 groszy każda oraz 8 000 000 (osiem milionów) akcji imiennych serii E o wartości nominalnej 10 groszy każda.</w:t>
      </w:r>
      <w:r w:rsidR="003973B3" w:rsidRPr="00CE7EE5">
        <w:rPr>
          <w:rFonts w:ascii="Arial" w:hAnsi="Arial" w:cs="Arial"/>
          <w:color w:val="000000"/>
        </w:rPr>
        <w:tab/>
        <w:t xml:space="preserve"> Cena emisyjna akcji wydawanych w ramach kapitału docelowego będzie nie niższa niż w przypadku akcji serii E – 10 groszy za jedną akcję oraz w przypadku akcji serii D – 7,07 złotych za jedną akcję. Zapisu na Akcję serii E mogą dokonać wyłącznie uprawnieni z warrantów subskrypcyjnych serii C. Warranty subskrypcyj</w:t>
      </w:r>
      <w:r w:rsidR="000A4AC9">
        <w:rPr>
          <w:rFonts w:ascii="Arial" w:hAnsi="Arial" w:cs="Arial"/>
          <w:color w:val="000000"/>
        </w:rPr>
        <w:t xml:space="preserve">ne, wydawane będą nieodpłatnie </w:t>
      </w:r>
      <w:r w:rsidR="003973B3" w:rsidRPr="00CE7EE5">
        <w:rPr>
          <w:rFonts w:ascii="Arial" w:hAnsi="Arial" w:cs="Arial"/>
          <w:color w:val="000000"/>
        </w:rPr>
        <w:t>wyłącznie na rzecz spółki Assets Management Black Lion Spółka z ograniczoną odpowiedzialnością SKA z siedzibą w Warsz</w:t>
      </w:r>
      <w:r w:rsidR="007749E7" w:rsidRPr="00CE7EE5">
        <w:rPr>
          <w:rFonts w:ascii="Arial" w:hAnsi="Arial" w:cs="Arial"/>
          <w:color w:val="000000"/>
        </w:rPr>
        <w:t>awie – spółki, której wspólnicy</w:t>
      </w:r>
      <w:r w:rsidR="00AC1FB0" w:rsidRPr="00CE7EE5">
        <w:rPr>
          <w:rFonts w:ascii="Arial" w:hAnsi="Arial" w:cs="Arial"/>
          <w:color w:val="000000"/>
        </w:rPr>
        <w:t xml:space="preserve">, poprzez uczestnictwo w Firmie Zarządzającej Funduszem, </w:t>
      </w:r>
      <w:r w:rsidR="003973B3" w:rsidRPr="00CE7EE5">
        <w:rPr>
          <w:rFonts w:ascii="Arial" w:hAnsi="Arial" w:cs="Arial"/>
          <w:color w:val="000000"/>
        </w:rPr>
        <w:t xml:space="preserve">odgrywają istotną rolę w budowaniu wartości Funduszu. </w:t>
      </w:r>
    </w:p>
    <w:p w:rsidR="00B9789E" w:rsidRDefault="00B9789E" w:rsidP="00CE7EE5">
      <w:pPr>
        <w:tabs>
          <w:tab w:val="left" w:pos="680"/>
        </w:tabs>
        <w:autoSpaceDE w:val="0"/>
        <w:autoSpaceDN w:val="0"/>
        <w:adjustRightInd w:val="0"/>
        <w:spacing w:after="0" w:line="360" w:lineRule="auto"/>
        <w:jc w:val="both"/>
        <w:rPr>
          <w:rFonts w:ascii="Arial" w:hAnsi="Arial" w:cs="Arial"/>
          <w:sz w:val="20"/>
          <w:szCs w:val="20"/>
        </w:rPr>
      </w:pPr>
    </w:p>
    <w:p w:rsidR="004E343D" w:rsidRDefault="004E343D" w:rsidP="00CE7EE5">
      <w:pPr>
        <w:tabs>
          <w:tab w:val="left" w:pos="680"/>
        </w:tabs>
        <w:autoSpaceDE w:val="0"/>
        <w:autoSpaceDN w:val="0"/>
        <w:adjustRightInd w:val="0"/>
        <w:spacing w:after="0" w:line="360" w:lineRule="auto"/>
        <w:jc w:val="both"/>
        <w:rPr>
          <w:rFonts w:ascii="Arial" w:hAnsi="Arial" w:cs="Arial"/>
          <w:sz w:val="20"/>
          <w:szCs w:val="20"/>
        </w:rPr>
      </w:pPr>
    </w:p>
    <w:p w:rsidR="004E343D" w:rsidRDefault="004E343D" w:rsidP="00CE7EE5">
      <w:pPr>
        <w:tabs>
          <w:tab w:val="left" w:pos="680"/>
        </w:tabs>
        <w:autoSpaceDE w:val="0"/>
        <w:autoSpaceDN w:val="0"/>
        <w:adjustRightInd w:val="0"/>
        <w:spacing w:after="0" w:line="360" w:lineRule="auto"/>
        <w:jc w:val="both"/>
        <w:rPr>
          <w:rFonts w:ascii="Arial" w:hAnsi="Arial" w:cs="Arial"/>
          <w:sz w:val="20"/>
          <w:szCs w:val="20"/>
        </w:rPr>
      </w:pPr>
    </w:p>
    <w:p w:rsidR="004E343D" w:rsidRDefault="004E343D" w:rsidP="00CE7EE5">
      <w:pPr>
        <w:tabs>
          <w:tab w:val="left" w:pos="680"/>
        </w:tabs>
        <w:autoSpaceDE w:val="0"/>
        <w:autoSpaceDN w:val="0"/>
        <w:adjustRightInd w:val="0"/>
        <w:spacing w:after="0" w:line="360" w:lineRule="auto"/>
        <w:jc w:val="both"/>
        <w:rPr>
          <w:rFonts w:ascii="Arial" w:hAnsi="Arial" w:cs="Arial"/>
          <w:sz w:val="20"/>
          <w:szCs w:val="20"/>
        </w:rPr>
      </w:pPr>
    </w:p>
    <w:p w:rsidR="004E343D" w:rsidRPr="00CE7EE5" w:rsidRDefault="004E343D" w:rsidP="00CE7EE5">
      <w:pPr>
        <w:tabs>
          <w:tab w:val="left" w:pos="680"/>
        </w:tabs>
        <w:autoSpaceDE w:val="0"/>
        <w:autoSpaceDN w:val="0"/>
        <w:adjustRightInd w:val="0"/>
        <w:spacing w:after="0" w:line="360" w:lineRule="auto"/>
        <w:jc w:val="both"/>
        <w:rPr>
          <w:rFonts w:ascii="Arial" w:hAnsi="Arial" w:cs="Arial"/>
          <w:sz w:val="20"/>
          <w:szCs w:val="20"/>
        </w:rPr>
      </w:pPr>
    </w:p>
    <w:p w:rsidR="009A6D88" w:rsidRPr="00CE7EE5" w:rsidRDefault="00CF4112" w:rsidP="00CE7EE5">
      <w:pPr>
        <w:pStyle w:val="Akapitzlist"/>
        <w:numPr>
          <w:ilvl w:val="0"/>
          <w:numId w:val="1"/>
        </w:numPr>
        <w:tabs>
          <w:tab w:val="right" w:pos="0"/>
        </w:tabs>
        <w:autoSpaceDE w:val="0"/>
        <w:autoSpaceDN w:val="0"/>
        <w:adjustRightInd w:val="0"/>
        <w:spacing w:after="0" w:line="360" w:lineRule="auto"/>
        <w:ind w:left="567" w:hanging="567"/>
        <w:jc w:val="both"/>
        <w:rPr>
          <w:rFonts w:ascii="Arial" w:hAnsi="Arial" w:cs="Arial"/>
          <w:b/>
          <w:sz w:val="20"/>
          <w:szCs w:val="20"/>
        </w:rPr>
      </w:pPr>
      <w:r w:rsidRPr="00CE7EE5">
        <w:rPr>
          <w:rFonts w:ascii="Arial" w:hAnsi="Arial" w:cs="Arial"/>
          <w:b/>
          <w:sz w:val="20"/>
          <w:szCs w:val="20"/>
        </w:rPr>
        <w:t>O</w:t>
      </w:r>
      <w:r w:rsidR="009A6D88" w:rsidRPr="00CE7EE5">
        <w:rPr>
          <w:rFonts w:ascii="Arial" w:hAnsi="Arial" w:cs="Arial"/>
          <w:b/>
          <w:sz w:val="20"/>
          <w:szCs w:val="20"/>
        </w:rPr>
        <w:t>pis zasad zmiany statutu</w:t>
      </w:r>
      <w:r w:rsidR="00BF796F" w:rsidRPr="00CE7EE5">
        <w:rPr>
          <w:rFonts w:ascii="Arial" w:hAnsi="Arial" w:cs="Arial"/>
          <w:b/>
          <w:sz w:val="20"/>
          <w:szCs w:val="20"/>
        </w:rPr>
        <w:t xml:space="preserve"> Funduszu</w:t>
      </w:r>
      <w:r w:rsidR="00B9789E" w:rsidRPr="00CE7EE5">
        <w:rPr>
          <w:rFonts w:ascii="Arial" w:hAnsi="Arial" w:cs="Arial"/>
          <w:b/>
          <w:sz w:val="20"/>
          <w:szCs w:val="20"/>
        </w:rPr>
        <w:t>.</w:t>
      </w:r>
    </w:p>
    <w:p w:rsidR="00B9789E" w:rsidRPr="00CE7EE5" w:rsidRDefault="00B9789E" w:rsidP="00CE7EE5">
      <w:pPr>
        <w:pStyle w:val="Akapitzlist"/>
        <w:tabs>
          <w:tab w:val="left" w:pos="680"/>
        </w:tabs>
        <w:autoSpaceDE w:val="0"/>
        <w:autoSpaceDN w:val="0"/>
        <w:adjustRightInd w:val="0"/>
        <w:spacing w:after="0" w:line="360" w:lineRule="auto"/>
        <w:ind w:left="1128"/>
        <w:jc w:val="both"/>
        <w:rPr>
          <w:rFonts w:ascii="Arial" w:hAnsi="Arial" w:cs="Arial"/>
          <w:sz w:val="20"/>
          <w:szCs w:val="20"/>
        </w:rPr>
      </w:pPr>
    </w:p>
    <w:p w:rsidR="00B9789E" w:rsidRPr="00CE7EE5" w:rsidRDefault="00B9789E" w:rsidP="00CE7EE5">
      <w:pPr>
        <w:autoSpaceDE w:val="0"/>
        <w:autoSpaceDN w:val="0"/>
        <w:adjustRightInd w:val="0"/>
        <w:spacing w:after="0" w:line="360" w:lineRule="auto"/>
        <w:jc w:val="both"/>
        <w:rPr>
          <w:rFonts w:ascii="Arial" w:hAnsi="Arial" w:cs="Arial"/>
          <w:color w:val="000000"/>
          <w:sz w:val="20"/>
          <w:szCs w:val="20"/>
        </w:rPr>
      </w:pPr>
      <w:r w:rsidRPr="00CE7EE5">
        <w:rPr>
          <w:rFonts w:ascii="Arial" w:hAnsi="Arial" w:cs="Arial"/>
          <w:color w:val="000000"/>
          <w:sz w:val="20"/>
          <w:szCs w:val="20"/>
        </w:rPr>
        <w:t xml:space="preserve">Zmiana Statutu Spółki, w tym podejmowanie uchwał o podwyższeniu i obniżeniu kapitału zakładowego należy do kompetencji Walnego Zgromadzenia na zasadach określonych postanowieniami art. 430 i następne kodeksu spółek handlowych z uwzględnieniem przepisów ustaw: o ofercie publicznej i warunkach wprowadzania instrumentów finansowych do zorganizowanego systemu obrotu oraz o spółkach publicznych, o obrocie instrumentami finansowymi oraz o nadzorze nad rynkiem kapitałowym. </w:t>
      </w:r>
    </w:p>
    <w:p w:rsidR="00B9789E" w:rsidRPr="00CE7EE5" w:rsidRDefault="00B9789E" w:rsidP="00CE7EE5">
      <w:pPr>
        <w:pStyle w:val="Akapitzlist"/>
        <w:tabs>
          <w:tab w:val="left" w:pos="680"/>
        </w:tabs>
        <w:autoSpaceDE w:val="0"/>
        <w:autoSpaceDN w:val="0"/>
        <w:adjustRightInd w:val="0"/>
        <w:spacing w:after="0" w:line="360" w:lineRule="auto"/>
        <w:ind w:left="1128"/>
        <w:jc w:val="both"/>
        <w:rPr>
          <w:rFonts w:ascii="Arial" w:hAnsi="Arial" w:cs="Arial"/>
          <w:sz w:val="20"/>
          <w:szCs w:val="20"/>
        </w:rPr>
      </w:pPr>
    </w:p>
    <w:p w:rsidR="009A6D88" w:rsidRPr="00CE7EE5" w:rsidRDefault="005E19B9" w:rsidP="00CE7EE5">
      <w:pPr>
        <w:pStyle w:val="Akapitzlist"/>
        <w:numPr>
          <w:ilvl w:val="0"/>
          <w:numId w:val="1"/>
        </w:numPr>
        <w:tabs>
          <w:tab w:val="right" w:pos="0"/>
        </w:tabs>
        <w:autoSpaceDE w:val="0"/>
        <w:autoSpaceDN w:val="0"/>
        <w:adjustRightInd w:val="0"/>
        <w:spacing w:after="0" w:line="360" w:lineRule="auto"/>
        <w:ind w:left="567" w:hanging="567"/>
        <w:jc w:val="both"/>
        <w:rPr>
          <w:rFonts w:ascii="Arial" w:hAnsi="Arial" w:cs="Arial"/>
          <w:b/>
          <w:sz w:val="20"/>
          <w:szCs w:val="20"/>
        </w:rPr>
      </w:pPr>
      <w:r>
        <w:rPr>
          <w:rFonts w:ascii="Arial" w:hAnsi="Arial" w:cs="Arial"/>
          <w:b/>
          <w:sz w:val="20"/>
          <w:szCs w:val="20"/>
        </w:rPr>
        <w:t>S</w:t>
      </w:r>
      <w:r w:rsidR="009A6D88" w:rsidRPr="00CE7EE5">
        <w:rPr>
          <w:rFonts w:ascii="Arial" w:hAnsi="Arial" w:cs="Arial"/>
          <w:b/>
          <w:sz w:val="20"/>
          <w:szCs w:val="20"/>
        </w:rPr>
        <w:t>posób działania walnego zgromadzenia i jego zasadnicze uprawnienia oraz opis praw akcjonariuszy i sposobu ich wykonywania, w szczególności zasady wynikające z regulaminu walnego zgromadzenia, jeżeli taki regulamin został uchwalony, o ile informacje w tym zakresie nie wy</w:t>
      </w:r>
      <w:r w:rsidR="00CF4112" w:rsidRPr="00CE7EE5">
        <w:rPr>
          <w:rFonts w:ascii="Arial" w:hAnsi="Arial" w:cs="Arial"/>
          <w:b/>
          <w:sz w:val="20"/>
          <w:szCs w:val="20"/>
        </w:rPr>
        <w:t>nikają wprost z przepisów prawa.</w:t>
      </w:r>
    </w:p>
    <w:p w:rsidR="00FC31E8" w:rsidRPr="00CE7EE5" w:rsidRDefault="00FC31E8" w:rsidP="00CE7EE5">
      <w:pPr>
        <w:tabs>
          <w:tab w:val="left" w:pos="680"/>
        </w:tabs>
        <w:autoSpaceDE w:val="0"/>
        <w:autoSpaceDN w:val="0"/>
        <w:adjustRightInd w:val="0"/>
        <w:spacing w:after="0" w:line="360" w:lineRule="auto"/>
        <w:ind w:left="680" w:hanging="272"/>
        <w:jc w:val="both"/>
        <w:rPr>
          <w:rFonts w:ascii="Arial" w:hAnsi="Arial" w:cs="Arial"/>
          <w:sz w:val="20"/>
          <w:szCs w:val="20"/>
        </w:rPr>
      </w:pPr>
    </w:p>
    <w:p w:rsidR="00FC31E8" w:rsidRPr="00CE7EE5" w:rsidRDefault="00FC31E8" w:rsidP="002F0B74">
      <w:pPr>
        <w:autoSpaceDE w:val="0"/>
        <w:autoSpaceDN w:val="0"/>
        <w:adjustRightInd w:val="0"/>
        <w:spacing w:after="0" w:line="360" w:lineRule="auto"/>
        <w:jc w:val="both"/>
        <w:rPr>
          <w:rFonts w:ascii="Arial" w:hAnsi="Arial" w:cs="Arial"/>
          <w:color w:val="000000"/>
          <w:sz w:val="20"/>
          <w:szCs w:val="20"/>
        </w:rPr>
      </w:pPr>
      <w:r w:rsidRPr="00CE7EE5">
        <w:rPr>
          <w:rFonts w:ascii="Arial" w:hAnsi="Arial" w:cs="Arial"/>
          <w:color w:val="000000"/>
          <w:sz w:val="20"/>
          <w:szCs w:val="20"/>
        </w:rPr>
        <w:t xml:space="preserve">Walne Zgromadzenie jest najwyższym organem Spółki. Działa ono zgodnie przepisami prawa, zasadami określonymi w Statucie Spółki a także zgodnie z Regulaminem Walnego Zgromadzenia. Walne </w:t>
      </w:r>
      <w:r w:rsidR="00BD7168" w:rsidRPr="00CE7EE5">
        <w:rPr>
          <w:rFonts w:ascii="Arial" w:hAnsi="Arial" w:cs="Arial"/>
          <w:color w:val="000000"/>
          <w:sz w:val="20"/>
          <w:szCs w:val="20"/>
        </w:rPr>
        <w:t>Z</w:t>
      </w:r>
      <w:r w:rsidRPr="00CE7EE5">
        <w:rPr>
          <w:rFonts w:ascii="Arial" w:hAnsi="Arial" w:cs="Arial"/>
          <w:color w:val="000000"/>
          <w:sz w:val="20"/>
          <w:szCs w:val="20"/>
        </w:rPr>
        <w:t xml:space="preserve">gromadzenia odbywają się w siedzibie Spółki i mogą być zwyczajne lub nadzwyczajne. Zwyczajne Walne Zgromadzenie zwołuje Zarząd Spółki w terminie nie późniejszym niż do dnia 30 czerwca każdego kolejnego roku kalendarzowego. Nadzwyczajne Walne Zgromadzenie zwołuje Zarząd Spółki z własnej inicjatywy lub na pisemny wniosek uprawnionych określonych postanowieniami art. 400 kodeksu spółek handlowych. Rada </w:t>
      </w:r>
      <w:r w:rsidR="001609FE">
        <w:rPr>
          <w:rFonts w:ascii="Arial" w:hAnsi="Arial" w:cs="Arial"/>
          <w:color w:val="000000"/>
          <w:sz w:val="20"/>
          <w:szCs w:val="20"/>
        </w:rPr>
        <w:t>N</w:t>
      </w:r>
      <w:r w:rsidRPr="00CE7EE5">
        <w:rPr>
          <w:rFonts w:ascii="Arial" w:hAnsi="Arial" w:cs="Arial"/>
          <w:color w:val="000000"/>
          <w:sz w:val="20"/>
          <w:szCs w:val="20"/>
        </w:rPr>
        <w:t xml:space="preserve">adzorcza może zwołać zwyczajne walne zgromadzenie, jeżeli zarząd nie zwoła go w terminie ustawowym lub statutowym, oraz nadzwyczajne walne zgromadzenie, jeżeli zwołanie go uzna za wskazane. Zgromadzenie zwołuje się w sposób przewidziany przepisami prawa – przez ogłoszenie dokonywane na stronie internetowej spółki oraz w sposób określony dla przekazywania informacji bieżących zgodnie z przepisami o ofercie publicznej i warunkach wprowadzania instrumentów finansowych do zorganizowanego systemu obrotu oraz o spółkach publicznych. Ogłoszenie powinno być dokonane co najmniej na dwadzieścia sześć dni przed terminem walnego zgromadzenia. </w:t>
      </w:r>
    </w:p>
    <w:p w:rsidR="00FC31E8" w:rsidRPr="00CE7EE5" w:rsidRDefault="00FC31E8" w:rsidP="002F0B74">
      <w:pPr>
        <w:autoSpaceDE w:val="0"/>
        <w:autoSpaceDN w:val="0"/>
        <w:adjustRightInd w:val="0"/>
        <w:spacing w:after="0" w:line="360" w:lineRule="auto"/>
        <w:jc w:val="both"/>
        <w:rPr>
          <w:rFonts w:ascii="Arial" w:hAnsi="Arial" w:cs="Arial"/>
          <w:color w:val="000000"/>
          <w:sz w:val="20"/>
          <w:szCs w:val="20"/>
        </w:rPr>
      </w:pPr>
      <w:r w:rsidRPr="00CE7EE5">
        <w:rPr>
          <w:rFonts w:ascii="Arial" w:hAnsi="Arial" w:cs="Arial"/>
          <w:color w:val="000000"/>
          <w:sz w:val="20"/>
          <w:szCs w:val="20"/>
        </w:rPr>
        <w:t xml:space="preserve">Uprawnionymi do uczestnictwa w Walnym Zgromadzeniu są: </w:t>
      </w:r>
    </w:p>
    <w:p w:rsidR="00FC31E8" w:rsidRPr="00CE7EE5" w:rsidRDefault="00FC31E8" w:rsidP="002F0B74">
      <w:pPr>
        <w:autoSpaceDE w:val="0"/>
        <w:autoSpaceDN w:val="0"/>
        <w:adjustRightInd w:val="0"/>
        <w:spacing w:after="0" w:line="360" w:lineRule="auto"/>
        <w:jc w:val="both"/>
        <w:rPr>
          <w:rFonts w:ascii="Arial" w:hAnsi="Arial" w:cs="Arial"/>
          <w:color w:val="000000"/>
          <w:sz w:val="20"/>
          <w:szCs w:val="20"/>
        </w:rPr>
      </w:pPr>
      <w:r w:rsidRPr="00CE7EE5">
        <w:rPr>
          <w:rFonts w:ascii="Arial" w:hAnsi="Arial" w:cs="Arial"/>
          <w:color w:val="000000"/>
          <w:sz w:val="20"/>
          <w:szCs w:val="20"/>
        </w:rPr>
        <w:t xml:space="preserve">-osoby będące akcjonariuszami spółki na szesnaście dni przed datą walnego zgromadzenia (dzień rejestracji uczestnictwa w walnym zgromadzeniu), </w:t>
      </w:r>
    </w:p>
    <w:p w:rsidR="00FC31E8" w:rsidRPr="00CE7EE5" w:rsidRDefault="00FC31E8" w:rsidP="002F0B74">
      <w:pPr>
        <w:autoSpaceDE w:val="0"/>
        <w:autoSpaceDN w:val="0"/>
        <w:adjustRightInd w:val="0"/>
        <w:spacing w:after="0" w:line="360" w:lineRule="auto"/>
        <w:jc w:val="both"/>
        <w:rPr>
          <w:rFonts w:ascii="Arial" w:hAnsi="Arial" w:cs="Arial"/>
          <w:color w:val="000000"/>
          <w:sz w:val="20"/>
          <w:szCs w:val="20"/>
        </w:rPr>
      </w:pPr>
      <w:r w:rsidRPr="00CE7EE5">
        <w:rPr>
          <w:rFonts w:ascii="Arial" w:hAnsi="Arial" w:cs="Arial"/>
          <w:color w:val="000000"/>
          <w:sz w:val="20"/>
          <w:szCs w:val="20"/>
        </w:rPr>
        <w:t xml:space="preserve">-uprawnieni z akcji na okaziciela mających postać dokumentu – jeżeli dokumenty akcji zostaną złożone w spółce nie później niż w dniu rejestracji uczestnictwa w Walnym Zgromadzeniu i nie będą odbierane przed zakończeniem tego dnia. Zamiast akcji może być złożone zaświadczenie wydane na dowód złożenia akcji u notariusza, w banku lub firmie inwestycyjnej mających siedzibę lub oddział na terytorium Unii Europejskiej lub państwa będącego stroną umowy o Europejskim Obszarze Gospodarczym, wskazanych w ogłoszeniu o zwołaniu walnego zgromadzenia. </w:t>
      </w:r>
    </w:p>
    <w:p w:rsidR="00FC31E8" w:rsidRPr="00CE7EE5" w:rsidRDefault="00FC31E8" w:rsidP="002F0B74">
      <w:pPr>
        <w:autoSpaceDE w:val="0"/>
        <w:autoSpaceDN w:val="0"/>
        <w:adjustRightInd w:val="0"/>
        <w:spacing w:after="0" w:line="360" w:lineRule="auto"/>
        <w:jc w:val="both"/>
        <w:rPr>
          <w:rFonts w:ascii="Arial" w:hAnsi="Arial" w:cs="Arial"/>
          <w:color w:val="000000"/>
          <w:sz w:val="20"/>
          <w:szCs w:val="20"/>
        </w:rPr>
      </w:pPr>
      <w:r w:rsidRPr="00CE7EE5">
        <w:rPr>
          <w:rFonts w:ascii="Arial" w:hAnsi="Arial" w:cs="Arial"/>
          <w:color w:val="000000"/>
          <w:sz w:val="20"/>
          <w:szCs w:val="20"/>
        </w:rPr>
        <w:t xml:space="preserve">-Członkowie Zarządu i Rady Nadzorczej, </w:t>
      </w:r>
    </w:p>
    <w:p w:rsidR="00FC31E8" w:rsidRPr="00CE7EE5" w:rsidRDefault="00FC31E8" w:rsidP="002F0B74">
      <w:pPr>
        <w:autoSpaceDE w:val="0"/>
        <w:autoSpaceDN w:val="0"/>
        <w:adjustRightInd w:val="0"/>
        <w:spacing w:after="0" w:line="360" w:lineRule="auto"/>
        <w:jc w:val="both"/>
        <w:rPr>
          <w:rFonts w:ascii="Arial" w:hAnsi="Arial" w:cs="Arial"/>
          <w:color w:val="000000"/>
          <w:sz w:val="20"/>
          <w:szCs w:val="20"/>
        </w:rPr>
      </w:pPr>
      <w:r w:rsidRPr="00CE7EE5">
        <w:rPr>
          <w:rFonts w:ascii="Arial" w:hAnsi="Arial" w:cs="Arial"/>
          <w:color w:val="000000"/>
          <w:sz w:val="20"/>
          <w:szCs w:val="20"/>
        </w:rPr>
        <w:t xml:space="preserve">Zarząd lub Rada Nadzorcza może zaprosić inne osoby, których udział jest uzasadniony, jak na przykład przedstawicieli biegłego rewidenta, przedstawicieli doradców prawnych i finansowych - gdy poruszane są skomplikowane kwestie związane z problematyką prawno-ekonomiczną . </w:t>
      </w:r>
    </w:p>
    <w:p w:rsidR="00FC31E8" w:rsidRPr="00CE7EE5" w:rsidRDefault="00FC31E8" w:rsidP="002F0B74">
      <w:pPr>
        <w:autoSpaceDE w:val="0"/>
        <w:autoSpaceDN w:val="0"/>
        <w:adjustRightInd w:val="0"/>
        <w:spacing w:after="0" w:line="360" w:lineRule="auto"/>
        <w:jc w:val="both"/>
        <w:rPr>
          <w:rFonts w:ascii="Arial" w:hAnsi="Arial" w:cs="Arial"/>
          <w:color w:val="000000"/>
          <w:sz w:val="20"/>
          <w:szCs w:val="20"/>
        </w:rPr>
      </w:pPr>
      <w:r w:rsidRPr="00CE7EE5">
        <w:rPr>
          <w:rFonts w:ascii="Arial" w:hAnsi="Arial" w:cs="Arial"/>
          <w:color w:val="000000"/>
          <w:sz w:val="20"/>
          <w:szCs w:val="20"/>
        </w:rPr>
        <w:t xml:space="preserve">Lista Akcjonariuszy uprawnionych do uczestnictwa w Walnym Zgromadzeniu podpisana przez Zarząd, obejmująca imiona i nazwiska albo firmy (nazwy) uprawnionych, miejsce zamieszkania (siedzibę), liczbę, rodzaj i numery akcji oraz liczbę przysługujących im głosów, jest każdorazowo wyłożona w siedzibie Spółki przez trzy dni robocze przed odbyciem Walnego Zgromadzenia. </w:t>
      </w:r>
    </w:p>
    <w:p w:rsidR="00FC31E8" w:rsidRPr="00CE7EE5" w:rsidRDefault="00FC31E8" w:rsidP="002F0B74">
      <w:pPr>
        <w:autoSpaceDE w:val="0"/>
        <w:autoSpaceDN w:val="0"/>
        <w:adjustRightInd w:val="0"/>
        <w:spacing w:after="0" w:line="360" w:lineRule="auto"/>
        <w:jc w:val="both"/>
        <w:rPr>
          <w:rFonts w:ascii="Arial" w:hAnsi="Arial" w:cs="Arial"/>
          <w:color w:val="000000"/>
          <w:sz w:val="20"/>
          <w:szCs w:val="20"/>
        </w:rPr>
      </w:pPr>
      <w:r w:rsidRPr="00CE7EE5">
        <w:rPr>
          <w:rFonts w:ascii="Arial" w:hAnsi="Arial" w:cs="Arial"/>
          <w:color w:val="000000"/>
          <w:sz w:val="20"/>
          <w:szCs w:val="20"/>
        </w:rPr>
        <w:t xml:space="preserve">Akcjonariusze mogą uczestniczyć w Walnym Zgromadzeniu oraz wykonywać prawo głosu osobiście lub przez pełnomocników, przy czym stosowne pełnomocnictwa powinny być udzielone na piśmie lub w postaci elektronicznej. Udzielenie pełnomocnictwa w postaci elektronicznej nie wymaga opatrzenia bezpiecznym podpisem elektronicznym weryfikowanym przy pomocy ważnego kwalifikowanego certyfikatu. Spółka publiczna podejmuje odpowiednie działania służące identyfikacji akcjonariusza i pełnomocnika w celu weryfikacji ważności pełnomocnictwa udzielonego w postaci elektronicznej. </w:t>
      </w:r>
    </w:p>
    <w:p w:rsidR="00FC31E8" w:rsidRPr="00CE7EE5" w:rsidRDefault="00FC31E8" w:rsidP="002F0B74">
      <w:pPr>
        <w:autoSpaceDE w:val="0"/>
        <w:autoSpaceDN w:val="0"/>
        <w:adjustRightInd w:val="0"/>
        <w:spacing w:after="0" w:line="360" w:lineRule="auto"/>
        <w:jc w:val="both"/>
        <w:rPr>
          <w:rFonts w:ascii="Arial" w:hAnsi="Arial" w:cs="Arial"/>
          <w:color w:val="000000"/>
          <w:sz w:val="20"/>
          <w:szCs w:val="20"/>
        </w:rPr>
      </w:pPr>
      <w:r w:rsidRPr="00CE7EE5">
        <w:rPr>
          <w:rFonts w:ascii="Arial" w:hAnsi="Arial" w:cs="Arial"/>
          <w:color w:val="000000"/>
          <w:sz w:val="20"/>
          <w:szCs w:val="20"/>
        </w:rPr>
        <w:t xml:space="preserve">Walne Zgromadzenie otwiera Przewodniczący Rady Nadzorczej lub osoba przez niego delegowana, a w razie nieobecności tych osób walne zgromadzenie otwiera prezes zarządu albo osoba wyznaczona przez zarząd, po czym spośród osób uprawnionych do głosowania wybiera się Przewodniczącego Walnego Zgromadzenia. Po wyborze Przewodniczącego sporządzana i wykładana jest lista obecności zawierająca spis uczestników Walnego Zgromadzenia z wymienieniem liczby akcji i przysługujących im głosów. Przewodniczący Walnego Zgromadzenia prowadzi obrady zgodnie z porządkiem obrad, podanym akcjonariuszom do wiadomości w ogłoszeniu o zwołaniu Walnego Zgromadzenia. </w:t>
      </w:r>
    </w:p>
    <w:p w:rsidR="00FC31E8" w:rsidRPr="00CE7EE5" w:rsidRDefault="00FC31E8" w:rsidP="002F0B74">
      <w:pPr>
        <w:autoSpaceDE w:val="0"/>
        <w:autoSpaceDN w:val="0"/>
        <w:adjustRightInd w:val="0"/>
        <w:spacing w:after="0" w:line="360" w:lineRule="auto"/>
        <w:jc w:val="both"/>
        <w:rPr>
          <w:rFonts w:ascii="Arial" w:hAnsi="Arial" w:cs="Arial"/>
          <w:color w:val="000000"/>
          <w:sz w:val="20"/>
          <w:szCs w:val="20"/>
        </w:rPr>
      </w:pPr>
      <w:r w:rsidRPr="00CE7EE5">
        <w:rPr>
          <w:rFonts w:ascii="Arial" w:hAnsi="Arial" w:cs="Arial"/>
          <w:color w:val="000000"/>
          <w:sz w:val="20"/>
          <w:szCs w:val="20"/>
        </w:rPr>
        <w:t>Porządek obrad ustala Zarząd</w:t>
      </w:r>
      <w:r w:rsidR="002F0B74">
        <w:rPr>
          <w:rFonts w:ascii="Arial" w:hAnsi="Arial" w:cs="Arial"/>
          <w:color w:val="000000"/>
          <w:sz w:val="20"/>
          <w:szCs w:val="20"/>
        </w:rPr>
        <w:t xml:space="preserve"> Funduszu</w:t>
      </w:r>
      <w:r w:rsidRPr="00CE7EE5">
        <w:rPr>
          <w:rFonts w:ascii="Arial" w:hAnsi="Arial" w:cs="Arial"/>
          <w:color w:val="000000"/>
          <w:sz w:val="20"/>
          <w:szCs w:val="20"/>
        </w:rPr>
        <w:t xml:space="preserve">, przy czym inne uprawnione osoby zgodnie z postanowieniami art. 401 kodeksu spółek handlowych mogą żądać umieszczenia poszczególnych spraw </w:t>
      </w:r>
      <w:r w:rsidR="000D2EC3">
        <w:rPr>
          <w:rFonts w:ascii="Arial" w:hAnsi="Arial" w:cs="Arial"/>
          <w:color w:val="000000"/>
          <w:sz w:val="20"/>
          <w:szCs w:val="20"/>
        </w:rPr>
        <w:t>w</w:t>
      </w:r>
      <w:r w:rsidRPr="00CE7EE5">
        <w:rPr>
          <w:rFonts w:ascii="Arial" w:hAnsi="Arial" w:cs="Arial"/>
          <w:color w:val="000000"/>
          <w:sz w:val="20"/>
          <w:szCs w:val="20"/>
        </w:rPr>
        <w:t xml:space="preserve"> porządku obrad najbliższego Walnego Zgromadzenia. Żądanie takie powinno być zgłoszone Zarządowi na piśmie bądź w postaci elektronicznej</w:t>
      </w:r>
      <w:r w:rsidR="00C41E6C">
        <w:rPr>
          <w:rFonts w:ascii="Arial" w:hAnsi="Arial" w:cs="Arial"/>
          <w:color w:val="000000"/>
          <w:sz w:val="20"/>
          <w:szCs w:val="20"/>
        </w:rPr>
        <w:t xml:space="preserve">, </w:t>
      </w:r>
      <w:r w:rsidRPr="00CE7EE5">
        <w:rPr>
          <w:rFonts w:ascii="Arial" w:hAnsi="Arial" w:cs="Arial"/>
          <w:color w:val="000000"/>
          <w:sz w:val="20"/>
          <w:szCs w:val="20"/>
        </w:rPr>
        <w:t xml:space="preserve">nie później niż na dwadzieścia jeden dni przed wyznaczonym terminem Walnego Zgromadzenia. </w:t>
      </w:r>
    </w:p>
    <w:p w:rsidR="00FC31E8" w:rsidRPr="00CE7EE5" w:rsidRDefault="00FC31E8" w:rsidP="002F0B74">
      <w:pPr>
        <w:autoSpaceDE w:val="0"/>
        <w:autoSpaceDN w:val="0"/>
        <w:adjustRightInd w:val="0"/>
        <w:spacing w:after="0" w:line="360" w:lineRule="auto"/>
        <w:jc w:val="both"/>
        <w:rPr>
          <w:rFonts w:ascii="Arial" w:hAnsi="Arial" w:cs="Arial"/>
          <w:color w:val="000000"/>
          <w:sz w:val="20"/>
          <w:szCs w:val="20"/>
        </w:rPr>
      </w:pPr>
      <w:r w:rsidRPr="00CE7EE5">
        <w:rPr>
          <w:rFonts w:ascii="Arial" w:hAnsi="Arial" w:cs="Arial"/>
          <w:color w:val="000000"/>
          <w:sz w:val="20"/>
          <w:szCs w:val="20"/>
        </w:rPr>
        <w:t xml:space="preserve">Uchwały Walnego Zgromadzenia są podejmowane bezwzględną większością głosów chyba, że inne postanowienia Statutu lub Kodeksu Spółek Handlowych stanowią inaczej, bez względu na liczbę reprezentowanych na nim akcji. </w:t>
      </w:r>
    </w:p>
    <w:p w:rsidR="00FC31E8" w:rsidRPr="00CE7EE5" w:rsidRDefault="00FC31E8" w:rsidP="00CE7EE5">
      <w:pPr>
        <w:autoSpaceDE w:val="0"/>
        <w:autoSpaceDN w:val="0"/>
        <w:adjustRightInd w:val="0"/>
        <w:spacing w:after="0" w:line="360" w:lineRule="auto"/>
        <w:rPr>
          <w:rFonts w:ascii="Arial" w:hAnsi="Arial" w:cs="Arial"/>
          <w:color w:val="000000"/>
          <w:sz w:val="20"/>
          <w:szCs w:val="20"/>
        </w:rPr>
      </w:pPr>
      <w:r w:rsidRPr="00CE7EE5">
        <w:rPr>
          <w:rFonts w:ascii="Arial" w:hAnsi="Arial" w:cs="Arial"/>
          <w:color w:val="000000"/>
          <w:sz w:val="20"/>
          <w:szCs w:val="20"/>
        </w:rPr>
        <w:t>Do kompetencji Walnego Zgromadzenia, poza sprawami określonymi w przepisach Kodeksu Spółek Handlowych, należy</w:t>
      </w:r>
      <w:r w:rsidR="002F0B74">
        <w:rPr>
          <w:rFonts w:ascii="Arial" w:hAnsi="Arial" w:cs="Arial"/>
          <w:color w:val="000000"/>
          <w:sz w:val="20"/>
          <w:szCs w:val="20"/>
        </w:rPr>
        <w:t xml:space="preserve"> wyrażanie zgody na</w:t>
      </w:r>
      <w:r w:rsidRPr="00CE7EE5">
        <w:rPr>
          <w:rFonts w:ascii="Arial" w:hAnsi="Arial" w:cs="Arial"/>
          <w:color w:val="000000"/>
          <w:sz w:val="20"/>
          <w:szCs w:val="20"/>
        </w:rPr>
        <w:t xml:space="preserve">: </w:t>
      </w:r>
    </w:p>
    <w:p w:rsidR="002F0B74" w:rsidRPr="002F0B74" w:rsidRDefault="002F0B74" w:rsidP="002F0B74">
      <w:pPr>
        <w:pStyle w:val="Tekstpodstawowy"/>
        <w:numPr>
          <w:ilvl w:val="0"/>
          <w:numId w:val="10"/>
        </w:numPr>
        <w:tabs>
          <w:tab w:val="clear" w:pos="720"/>
          <w:tab w:val="left" w:pos="709"/>
          <w:tab w:val="left" w:pos="1080"/>
          <w:tab w:val="right" w:leader="hyphen" w:pos="8789"/>
          <w:tab w:val="left" w:leader="hyphen" w:pos="8820"/>
        </w:tabs>
        <w:spacing w:line="360" w:lineRule="auto"/>
        <w:ind w:left="1066" w:hanging="357"/>
        <w:jc w:val="both"/>
        <w:rPr>
          <w:rFonts w:ascii="Arial" w:hAnsi="Arial" w:cs="Arial"/>
          <w:color w:val="auto"/>
        </w:rPr>
      </w:pPr>
      <w:r w:rsidRPr="002F0B74">
        <w:rPr>
          <w:rFonts w:ascii="Arial" w:hAnsi="Arial" w:cs="Arial"/>
          <w:color w:val="auto"/>
        </w:rPr>
        <w:t xml:space="preserve">nabywanie i zbywanie aktywów finansowych (w szczególności takich jak akcje i udziały w spółkach kapitałowych, prawa i obowiązki wspólnika spółki osobowej, certyfikaty i jednostki uczestnictwa  funduszy inwestycyjnych) o wartości powyżej 20.000.000,00 zł, z wyłączeniem nabywania i zbywania instrumentów rynku pieniężnego, </w:t>
      </w:r>
    </w:p>
    <w:p w:rsidR="002F0B74" w:rsidRPr="002F0B74" w:rsidRDefault="002F0B74" w:rsidP="002F0B74">
      <w:pPr>
        <w:pStyle w:val="Tekstpodstawowy"/>
        <w:numPr>
          <w:ilvl w:val="0"/>
          <w:numId w:val="10"/>
        </w:numPr>
        <w:tabs>
          <w:tab w:val="clear" w:pos="720"/>
          <w:tab w:val="left" w:pos="709"/>
          <w:tab w:val="left" w:pos="1080"/>
          <w:tab w:val="right" w:leader="hyphen" w:pos="8789"/>
          <w:tab w:val="left" w:leader="hyphen" w:pos="8820"/>
        </w:tabs>
        <w:spacing w:line="360" w:lineRule="auto"/>
        <w:ind w:left="1066" w:hanging="357"/>
        <w:jc w:val="both"/>
        <w:rPr>
          <w:rFonts w:ascii="Arial" w:hAnsi="Arial" w:cs="Arial"/>
          <w:color w:val="auto"/>
        </w:rPr>
      </w:pPr>
      <w:r w:rsidRPr="002F0B74">
        <w:rPr>
          <w:rFonts w:ascii="Arial" w:hAnsi="Arial" w:cs="Arial"/>
          <w:color w:val="auto"/>
        </w:rPr>
        <w:t>udzielanie pożyczek, obejmowanie obligacji, bonów komercyjnych i innego rodzaju instrumentów dłużnych, na kwotę powyżej 5.000.000,00 zł,</w:t>
      </w:r>
    </w:p>
    <w:p w:rsidR="002F0B74" w:rsidRPr="002F0B74" w:rsidRDefault="002F0B74" w:rsidP="002F0B74">
      <w:pPr>
        <w:pStyle w:val="Tekstpodstawowy"/>
        <w:numPr>
          <w:ilvl w:val="0"/>
          <w:numId w:val="10"/>
        </w:numPr>
        <w:tabs>
          <w:tab w:val="clear" w:pos="720"/>
          <w:tab w:val="left" w:pos="709"/>
          <w:tab w:val="left" w:pos="1080"/>
          <w:tab w:val="right" w:leader="hyphen" w:pos="8789"/>
          <w:tab w:val="left" w:leader="hyphen" w:pos="8820"/>
        </w:tabs>
        <w:spacing w:line="360" w:lineRule="auto"/>
        <w:ind w:left="1066" w:hanging="357"/>
        <w:jc w:val="both"/>
        <w:rPr>
          <w:rFonts w:ascii="Arial" w:hAnsi="Arial" w:cs="Arial"/>
          <w:color w:val="auto"/>
        </w:rPr>
      </w:pPr>
      <w:r w:rsidRPr="002F0B74">
        <w:rPr>
          <w:rFonts w:ascii="Arial" w:hAnsi="Arial" w:cs="Arial"/>
          <w:color w:val="auto"/>
        </w:rPr>
        <w:t xml:space="preserve">zaciąganie kredytów, pożyczek, emitowanie obligacji, bonów komercyjnych i innego rodzaju instrumentów dłużnych, na kwotę powyżej 10.000.000,00 zł, </w:t>
      </w:r>
    </w:p>
    <w:p w:rsidR="00340132" w:rsidRPr="00357B11" w:rsidRDefault="002F0B74" w:rsidP="00340132">
      <w:pPr>
        <w:pStyle w:val="Tekstpodstawowy"/>
        <w:numPr>
          <w:ilvl w:val="0"/>
          <w:numId w:val="10"/>
        </w:numPr>
        <w:tabs>
          <w:tab w:val="clear" w:pos="720"/>
          <w:tab w:val="left" w:pos="709"/>
          <w:tab w:val="left" w:pos="1080"/>
          <w:tab w:val="right" w:leader="hyphen" w:pos="8789"/>
          <w:tab w:val="left" w:leader="hyphen" w:pos="8820"/>
        </w:tabs>
        <w:spacing w:line="360" w:lineRule="auto"/>
        <w:ind w:left="1066" w:hanging="357"/>
        <w:jc w:val="both"/>
        <w:rPr>
          <w:rFonts w:ascii="Arial" w:hAnsi="Arial" w:cs="Arial"/>
          <w:color w:val="auto"/>
        </w:rPr>
      </w:pPr>
      <w:r w:rsidRPr="00357B11">
        <w:rPr>
          <w:rFonts w:ascii="Arial" w:hAnsi="Arial" w:cs="Arial"/>
          <w:color w:val="auto"/>
        </w:rPr>
        <w:t>zbywanie aktywów z obowiązkiem ich odkupu przez Fundusz, jeśli wartość transakcji (rozumiana jak</w:t>
      </w:r>
      <w:r w:rsidR="00C41E6C">
        <w:rPr>
          <w:rFonts w:ascii="Arial" w:hAnsi="Arial" w:cs="Arial"/>
          <w:color w:val="auto"/>
        </w:rPr>
        <w:t>o</w:t>
      </w:r>
      <w:r w:rsidRPr="00357B11">
        <w:rPr>
          <w:rFonts w:ascii="Arial" w:hAnsi="Arial" w:cs="Arial"/>
          <w:color w:val="auto"/>
        </w:rPr>
        <w:t xml:space="preserve"> cena lub wartość rynkowa aktywów – w zależności od tego, która z tych kwot jest wyższa) przekracza kwotę 10.000.000,00 zł, </w:t>
      </w:r>
    </w:p>
    <w:p w:rsidR="002F0B74" w:rsidRPr="002F0B74" w:rsidRDefault="002F0B74" w:rsidP="002F0B74">
      <w:pPr>
        <w:pStyle w:val="Tekstpodstawowy"/>
        <w:numPr>
          <w:ilvl w:val="0"/>
          <w:numId w:val="10"/>
        </w:numPr>
        <w:tabs>
          <w:tab w:val="clear" w:pos="720"/>
          <w:tab w:val="left" w:pos="709"/>
          <w:tab w:val="left" w:pos="1080"/>
          <w:tab w:val="right" w:leader="hyphen" w:pos="8789"/>
          <w:tab w:val="left" w:leader="hyphen" w:pos="8820"/>
        </w:tabs>
        <w:spacing w:line="360" w:lineRule="auto"/>
        <w:ind w:left="1066" w:hanging="357"/>
        <w:jc w:val="both"/>
        <w:rPr>
          <w:rFonts w:ascii="Arial" w:hAnsi="Arial" w:cs="Arial"/>
          <w:color w:val="auto"/>
        </w:rPr>
      </w:pPr>
      <w:r w:rsidRPr="002F0B74">
        <w:rPr>
          <w:rFonts w:ascii="Arial" w:hAnsi="Arial" w:cs="Arial"/>
          <w:color w:val="auto"/>
        </w:rPr>
        <w:t>nabywanie i zbywanie innych aktywów, niż wskazane w pkt 1, jeśli wartość transakcji (rozumiana jak</w:t>
      </w:r>
      <w:r w:rsidR="00C41E6C">
        <w:rPr>
          <w:rFonts w:ascii="Arial" w:hAnsi="Arial" w:cs="Arial"/>
          <w:color w:val="auto"/>
        </w:rPr>
        <w:t>o</w:t>
      </w:r>
      <w:r w:rsidRPr="002F0B74">
        <w:rPr>
          <w:rFonts w:ascii="Arial" w:hAnsi="Arial" w:cs="Arial"/>
          <w:color w:val="auto"/>
        </w:rPr>
        <w:t xml:space="preserve"> cena lub wartość rynkowa aktywów – w zależności od tego, która z tych kwot jest wyższa) przekracza kwotę 500.000,00 zł, o ile transakcja ta nie była przewidziana w budżecie, zatwierdzonym przez Radę Nadzorczą stosownie do art. 22.4, </w:t>
      </w:r>
    </w:p>
    <w:p w:rsidR="002F0B74" w:rsidRPr="002F0B74" w:rsidRDefault="002F0B74" w:rsidP="002F0B74">
      <w:pPr>
        <w:pStyle w:val="Tekstpodstawowy"/>
        <w:numPr>
          <w:ilvl w:val="0"/>
          <w:numId w:val="10"/>
        </w:numPr>
        <w:tabs>
          <w:tab w:val="clear" w:pos="720"/>
          <w:tab w:val="left" w:pos="709"/>
          <w:tab w:val="left" w:pos="1080"/>
          <w:tab w:val="right" w:leader="hyphen" w:pos="8789"/>
          <w:tab w:val="left" w:leader="hyphen" w:pos="8820"/>
        </w:tabs>
        <w:spacing w:line="360" w:lineRule="auto"/>
        <w:ind w:left="1066" w:hanging="357"/>
        <w:jc w:val="both"/>
        <w:rPr>
          <w:rFonts w:ascii="Arial" w:hAnsi="Arial" w:cs="Arial"/>
          <w:color w:val="auto"/>
        </w:rPr>
      </w:pPr>
      <w:r w:rsidRPr="002F0B74">
        <w:rPr>
          <w:rFonts w:ascii="Arial" w:hAnsi="Arial" w:cs="Arial"/>
          <w:color w:val="auto"/>
        </w:rPr>
        <w:t xml:space="preserve">udzielanie poręczeń, gwarancji, poddanie się egzekucji, oraz udzielanie zabezpieczeń na majątku Funduszu, w kwocie lub o wartości przekraczającej 1.000.000,00 zł, </w:t>
      </w:r>
    </w:p>
    <w:p w:rsidR="002F0B74" w:rsidRPr="002F0B74" w:rsidRDefault="002F0B74" w:rsidP="002F0B74">
      <w:pPr>
        <w:pStyle w:val="Tekstpodstawowy"/>
        <w:numPr>
          <w:ilvl w:val="0"/>
          <w:numId w:val="10"/>
        </w:numPr>
        <w:tabs>
          <w:tab w:val="clear" w:pos="720"/>
          <w:tab w:val="left" w:pos="709"/>
          <w:tab w:val="left" w:pos="1080"/>
          <w:tab w:val="right" w:leader="hyphen" w:pos="8789"/>
          <w:tab w:val="left" w:leader="hyphen" w:pos="8820"/>
        </w:tabs>
        <w:spacing w:line="360" w:lineRule="auto"/>
        <w:ind w:left="1066" w:hanging="357"/>
        <w:jc w:val="both"/>
        <w:rPr>
          <w:rFonts w:ascii="Arial" w:hAnsi="Arial" w:cs="Arial"/>
          <w:color w:val="auto"/>
        </w:rPr>
      </w:pPr>
      <w:r w:rsidRPr="002F0B74">
        <w:rPr>
          <w:rFonts w:ascii="Arial" w:hAnsi="Arial" w:cs="Arial"/>
          <w:color w:val="auto"/>
        </w:rPr>
        <w:t xml:space="preserve">wystawianie weksli oraz udzielanie poręczeń wekslowych, </w:t>
      </w:r>
    </w:p>
    <w:p w:rsidR="002F0B74" w:rsidRPr="002F0B74" w:rsidRDefault="002F0B74" w:rsidP="002F0B74">
      <w:pPr>
        <w:pStyle w:val="Tekstpodstawowy"/>
        <w:numPr>
          <w:ilvl w:val="0"/>
          <w:numId w:val="10"/>
        </w:numPr>
        <w:tabs>
          <w:tab w:val="clear" w:pos="720"/>
          <w:tab w:val="left" w:pos="709"/>
          <w:tab w:val="left" w:pos="1080"/>
          <w:tab w:val="right" w:leader="hyphen" w:pos="8789"/>
          <w:tab w:val="left" w:leader="hyphen" w:pos="8820"/>
        </w:tabs>
        <w:spacing w:line="360" w:lineRule="auto"/>
        <w:ind w:left="1066" w:hanging="357"/>
        <w:jc w:val="both"/>
        <w:rPr>
          <w:rFonts w:ascii="Arial" w:hAnsi="Arial" w:cs="Arial"/>
          <w:color w:val="auto"/>
        </w:rPr>
      </w:pPr>
      <w:r w:rsidRPr="002F0B74">
        <w:rPr>
          <w:rFonts w:ascii="Arial" w:hAnsi="Arial" w:cs="Arial"/>
          <w:color w:val="auto"/>
        </w:rPr>
        <w:t>darowizny lub inne czynności pod tytułem darmym, w przypadku, gdy łączna kwota wynikających z tego rodzaju czynności świadczeń Funduszu przekraczać będzie w danym roku kalendarzowym kwotę 100.000,00 zł,</w:t>
      </w:r>
    </w:p>
    <w:p w:rsidR="002F0B74" w:rsidRPr="002F0B74" w:rsidRDefault="002F0B74" w:rsidP="002F0B74">
      <w:pPr>
        <w:pStyle w:val="Tekstpodstawowy"/>
        <w:numPr>
          <w:ilvl w:val="0"/>
          <w:numId w:val="10"/>
        </w:numPr>
        <w:tabs>
          <w:tab w:val="clear" w:pos="720"/>
          <w:tab w:val="left" w:pos="709"/>
          <w:tab w:val="left" w:pos="1080"/>
          <w:tab w:val="right" w:leader="hyphen" w:pos="8789"/>
          <w:tab w:val="left" w:leader="hyphen" w:pos="8820"/>
        </w:tabs>
        <w:spacing w:line="360" w:lineRule="auto"/>
        <w:ind w:left="1066" w:hanging="357"/>
        <w:jc w:val="both"/>
        <w:rPr>
          <w:rFonts w:ascii="Arial" w:hAnsi="Arial" w:cs="Arial"/>
          <w:color w:val="auto"/>
        </w:rPr>
      </w:pPr>
      <w:r w:rsidRPr="002F0B74">
        <w:rPr>
          <w:rFonts w:ascii="Arial" w:hAnsi="Arial" w:cs="Arial"/>
          <w:color w:val="auto"/>
        </w:rPr>
        <w:t xml:space="preserve">zawarcie ugody, o wartości powyżej 100.000,00 zł, </w:t>
      </w:r>
    </w:p>
    <w:p w:rsidR="002F0B74" w:rsidRPr="002F0B74" w:rsidRDefault="002F0B74" w:rsidP="002F0B74">
      <w:pPr>
        <w:pStyle w:val="Tekstpodstawowy"/>
        <w:numPr>
          <w:ilvl w:val="0"/>
          <w:numId w:val="10"/>
        </w:numPr>
        <w:tabs>
          <w:tab w:val="clear" w:pos="720"/>
          <w:tab w:val="left" w:pos="709"/>
          <w:tab w:val="left" w:pos="1260"/>
          <w:tab w:val="right" w:leader="hyphen" w:pos="8789"/>
          <w:tab w:val="left" w:leader="hyphen" w:pos="8820"/>
        </w:tabs>
        <w:spacing w:line="360" w:lineRule="auto"/>
        <w:ind w:left="1066" w:hanging="357"/>
        <w:jc w:val="both"/>
        <w:rPr>
          <w:rFonts w:ascii="Arial" w:hAnsi="Arial" w:cs="Arial"/>
          <w:color w:val="auto"/>
        </w:rPr>
      </w:pPr>
      <w:r w:rsidRPr="002F0B74">
        <w:rPr>
          <w:rFonts w:ascii="Arial" w:hAnsi="Arial" w:cs="Arial"/>
          <w:color w:val="auto"/>
        </w:rPr>
        <w:t xml:space="preserve">nabywanie i zbywanie nieruchomości, prawa użytkowania wieczystego lub udziału w nieruchomości, </w:t>
      </w:r>
    </w:p>
    <w:p w:rsidR="002F0B74" w:rsidRPr="002F0B74" w:rsidRDefault="002F0B74" w:rsidP="002F0B74">
      <w:pPr>
        <w:pStyle w:val="Tekstpodstawowy"/>
        <w:numPr>
          <w:ilvl w:val="0"/>
          <w:numId w:val="10"/>
        </w:numPr>
        <w:tabs>
          <w:tab w:val="clear" w:pos="720"/>
          <w:tab w:val="left" w:pos="709"/>
          <w:tab w:val="left" w:pos="1080"/>
          <w:tab w:val="left" w:pos="1260"/>
          <w:tab w:val="right" w:leader="hyphen" w:pos="8789"/>
          <w:tab w:val="left" w:leader="hyphen" w:pos="8820"/>
        </w:tabs>
        <w:spacing w:line="360" w:lineRule="auto"/>
        <w:ind w:left="1066" w:hanging="357"/>
        <w:jc w:val="both"/>
        <w:rPr>
          <w:rFonts w:ascii="Arial" w:hAnsi="Arial" w:cs="Arial"/>
          <w:color w:val="auto"/>
        </w:rPr>
      </w:pPr>
      <w:r w:rsidRPr="002F0B74">
        <w:rPr>
          <w:rFonts w:ascii="Arial" w:hAnsi="Arial" w:cs="Arial"/>
          <w:color w:val="auto"/>
        </w:rPr>
        <w:t xml:space="preserve">wykonywanie prawa głosu w spółkach zależnych i innych spółkach, w przypadku których wartość posiadanego przez Fundusz pakietu akcji, udziałów lub innych praw udziałowych jest nie niższa niż 20.000.000,00 zł, w sprawach dotyczących: (i) podwyższenia kapitału  z wyłączeniem prawa poboru, (ii) zbycia albo wydzierżawienia przedsiębiorstwa lub jego zorganizowanej części oraz ustanowienia na nich ograniczonego prawa rzeczowego, (iii) połączenia z innym podmiotem oraz (iv) przekształcenia formy prawnej spółki, </w:t>
      </w:r>
    </w:p>
    <w:p w:rsidR="002F0B74" w:rsidRPr="002F0B74" w:rsidRDefault="002F0B74" w:rsidP="002F0B74">
      <w:pPr>
        <w:pStyle w:val="Tekstpodstawowy"/>
        <w:numPr>
          <w:ilvl w:val="0"/>
          <w:numId w:val="10"/>
        </w:numPr>
        <w:tabs>
          <w:tab w:val="clear" w:pos="720"/>
          <w:tab w:val="left" w:pos="709"/>
          <w:tab w:val="left" w:pos="1080"/>
          <w:tab w:val="left" w:pos="1260"/>
          <w:tab w:val="right" w:leader="hyphen" w:pos="8789"/>
          <w:tab w:val="left" w:leader="hyphen" w:pos="8820"/>
        </w:tabs>
        <w:spacing w:line="360" w:lineRule="auto"/>
        <w:ind w:left="1066" w:hanging="357"/>
        <w:jc w:val="both"/>
        <w:rPr>
          <w:rFonts w:ascii="Arial" w:hAnsi="Arial" w:cs="Arial"/>
          <w:color w:val="auto"/>
        </w:rPr>
      </w:pPr>
      <w:r w:rsidRPr="002F0B74">
        <w:rPr>
          <w:rFonts w:ascii="Arial" w:hAnsi="Arial" w:cs="Arial"/>
          <w:color w:val="auto"/>
        </w:rPr>
        <w:t xml:space="preserve">zawarcie umowy lub przeprowadzenie na innej podstawie transakcji o wartości powyżej 1.000.000,00 zł z podmiotami powiązanymi z członkami Zarządu Funduszu, członkami organów oraz wspólnikami firmy zarządzającej, o której mowa w art. 22.3, a także z członkami rodzin tych osób, oraz z podmiotami w których te osoby dysponują pośrednio lub bezpośrednio prawem do wykonywania ponad 20% łącznej liczby głosów lub prawem do udziału w pand 20% zysku, lub prawem do nabycia co najmniej 20% praw udziałowych, </w:t>
      </w:r>
      <w:r w:rsidRPr="002F0B74">
        <w:rPr>
          <w:rFonts w:ascii="Arial" w:hAnsi="Arial" w:cs="Arial"/>
          <w:color w:val="auto"/>
        </w:rPr>
        <w:tab/>
      </w:r>
    </w:p>
    <w:p w:rsidR="002F0B74" w:rsidRPr="002F0B74" w:rsidRDefault="002F0B74" w:rsidP="002F0B74">
      <w:pPr>
        <w:pStyle w:val="Tekstpodstawowy"/>
        <w:numPr>
          <w:ilvl w:val="0"/>
          <w:numId w:val="10"/>
        </w:numPr>
        <w:tabs>
          <w:tab w:val="clear" w:pos="720"/>
          <w:tab w:val="left" w:pos="709"/>
          <w:tab w:val="left" w:pos="1080"/>
          <w:tab w:val="left" w:pos="1260"/>
          <w:tab w:val="right" w:leader="hyphen" w:pos="8789"/>
          <w:tab w:val="left" w:leader="hyphen" w:pos="8820"/>
        </w:tabs>
        <w:spacing w:line="360" w:lineRule="auto"/>
        <w:ind w:left="1066" w:hanging="357"/>
        <w:jc w:val="both"/>
        <w:rPr>
          <w:rFonts w:ascii="Arial" w:hAnsi="Arial" w:cs="Arial"/>
          <w:color w:val="auto"/>
        </w:rPr>
      </w:pPr>
      <w:r w:rsidRPr="002F0B74">
        <w:rPr>
          <w:rFonts w:ascii="Arial" w:hAnsi="Arial" w:cs="Arial"/>
          <w:color w:val="auto"/>
        </w:rPr>
        <w:t>przekroczenie wydatków w stosunku do poziomu określonego w zatwierdzonym przez Radę Nadzorczą rocznym budżecie, o którym mowa w art. 22.4, o kwotę powyżej 500.000 zł.</w:t>
      </w:r>
      <w:r w:rsidRPr="002F0B74">
        <w:rPr>
          <w:rFonts w:ascii="Arial" w:hAnsi="Arial" w:cs="Arial"/>
          <w:color w:val="auto"/>
        </w:rPr>
        <w:tab/>
      </w:r>
    </w:p>
    <w:p w:rsidR="00FC31E8" w:rsidRPr="00CE7EE5" w:rsidRDefault="00FC31E8" w:rsidP="00CE7EE5">
      <w:pPr>
        <w:autoSpaceDE w:val="0"/>
        <w:autoSpaceDN w:val="0"/>
        <w:adjustRightInd w:val="0"/>
        <w:spacing w:after="0" w:line="360" w:lineRule="auto"/>
        <w:rPr>
          <w:rFonts w:ascii="Arial" w:hAnsi="Arial" w:cs="Arial"/>
          <w:color w:val="000000"/>
          <w:sz w:val="20"/>
          <w:szCs w:val="20"/>
        </w:rPr>
      </w:pPr>
    </w:p>
    <w:p w:rsidR="00435654" w:rsidRPr="00CE7EE5" w:rsidRDefault="00FC31E8" w:rsidP="00CE7EE5">
      <w:pPr>
        <w:autoSpaceDE w:val="0"/>
        <w:autoSpaceDN w:val="0"/>
        <w:adjustRightInd w:val="0"/>
        <w:spacing w:after="0" w:line="360" w:lineRule="auto"/>
        <w:rPr>
          <w:rFonts w:ascii="Arial" w:hAnsi="Arial" w:cs="Arial"/>
          <w:color w:val="000000"/>
          <w:sz w:val="20"/>
          <w:szCs w:val="20"/>
        </w:rPr>
      </w:pPr>
      <w:r w:rsidRPr="00CE7EE5">
        <w:rPr>
          <w:rFonts w:ascii="Arial" w:hAnsi="Arial" w:cs="Arial"/>
          <w:b/>
          <w:bCs/>
          <w:color w:val="000000"/>
          <w:sz w:val="20"/>
          <w:szCs w:val="20"/>
        </w:rPr>
        <w:t xml:space="preserve">Akcjonariuszom Spółki przysługują następujące uprawnienia związane z uczestnictwem w Spółce: </w:t>
      </w:r>
      <w:r w:rsidR="00435654" w:rsidRPr="00CE7EE5">
        <w:rPr>
          <w:rFonts w:ascii="Arial" w:hAnsi="Arial" w:cs="Arial"/>
          <w:sz w:val="20"/>
          <w:szCs w:val="20"/>
        </w:rPr>
        <w:t>Prawa związane z akcjami Spółki</w:t>
      </w:r>
    </w:p>
    <w:p w:rsidR="00435654" w:rsidRDefault="00435654" w:rsidP="000A4AC9">
      <w:pPr>
        <w:spacing w:after="0" w:line="360" w:lineRule="auto"/>
        <w:jc w:val="both"/>
        <w:rPr>
          <w:rFonts w:ascii="Arial" w:hAnsi="Arial" w:cs="Arial"/>
          <w:sz w:val="20"/>
          <w:szCs w:val="20"/>
        </w:rPr>
      </w:pPr>
      <w:r w:rsidRPr="00CE7EE5">
        <w:rPr>
          <w:rFonts w:ascii="Arial" w:hAnsi="Arial" w:cs="Arial"/>
          <w:sz w:val="20"/>
          <w:szCs w:val="20"/>
        </w:rPr>
        <w:t>Prawa i obowiązki związane z akcjami Spółki są określone w przepisach Kodeksu spółek handlowych, w Statucie oraz w innych przepisach prawa. Kodeks spółek handlowych przewiduje dla wspólników (akcjonariuszy) dwie kategorie uprawnień związanych m. in. z uczestnictwem akcjonariuszy w organach spółek czy też z posiadaniem akcji. Są to uprawnienia o charakterze majątkowym oraz o charakterze korporacyjnym.</w:t>
      </w:r>
    </w:p>
    <w:p w:rsidR="00340132" w:rsidRPr="00CE7EE5" w:rsidRDefault="00340132" w:rsidP="000A4AC9">
      <w:pPr>
        <w:spacing w:after="0" w:line="360" w:lineRule="auto"/>
        <w:jc w:val="both"/>
        <w:rPr>
          <w:rFonts w:ascii="Arial" w:hAnsi="Arial" w:cs="Arial"/>
          <w:sz w:val="20"/>
          <w:szCs w:val="20"/>
        </w:rPr>
      </w:pPr>
    </w:p>
    <w:p w:rsidR="00435654" w:rsidRPr="00CE7EE5" w:rsidRDefault="00435654" w:rsidP="00CE7EE5">
      <w:pPr>
        <w:pStyle w:val="Nagwek4"/>
        <w:spacing w:before="0" w:line="360" w:lineRule="auto"/>
        <w:rPr>
          <w:rFonts w:ascii="Arial" w:hAnsi="Arial" w:cs="Arial"/>
          <w:color w:val="auto"/>
          <w:sz w:val="20"/>
          <w:szCs w:val="20"/>
        </w:rPr>
      </w:pPr>
      <w:r w:rsidRPr="00CE7EE5">
        <w:rPr>
          <w:rFonts w:ascii="Arial" w:hAnsi="Arial" w:cs="Arial"/>
          <w:color w:val="auto"/>
          <w:sz w:val="20"/>
          <w:szCs w:val="20"/>
        </w:rPr>
        <w:t>Uprawnienia korporacyjne w KSH</w:t>
      </w:r>
    </w:p>
    <w:p w:rsidR="00435654" w:rsidRPr="00CE7EE5" w:rsidRDefault="00435654" w:rsidP="00CE7EE5">
      <w:pPr>
        <w:spacing w:after="0" w:line="360" w:lineRule="auto"/>
        <w:rPr>
          <w:rFonts w:ascii="Arial" w:hAnsi="Arial" w:cs="Arial"/>
          <w:sz w:val="20"/>
          <w:szCs w:val="20"/>
        </w:rPr>
      </w:pPr>
      <w:r w:rsidRPr="00CE7EE5">
        <w:rPr>
          <w:rFonts w:ascii="Arial" w:hAnsi="Arial" w:cs="Arial"/>
          <w:sz w:val="20"/>
          <w:szCs w:val="20"/>
        </w:rPr>
        <w:t>W ramach uprawnień  korporacyjnych, zwanych inaczej organizacyjnymi akcjonariuszowi przysługują następujące prawa:</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 xml:space="preserve">na podstawie art. 341 Kodeksu spółek handlowych prawo do przeglądania księgi akcyjnej i żądania wydania odpisu księgi akcyjnej za zwrotem kosztów jego sporządzenia, </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 xml:space="preserve">na podstawie art. 395 Kodeksu spółek handlowych akcjonariusz ma prawo do otrzymania odpisu sprawozdania Zarządu z działalności Emitenta, odpisu sprawozdania finansowego wraz z załączonym odpisem sprawozdania Rady Nadzorczej, a także odpisu opinii biegłego rewidenta, </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na podstawie art. 400 kodeksu spółek handlowych akcjonariusz lub akcjonariusze reprezentujący co najmniej jedną dwudziestą kapitału zakładowego mogą żądać zwołania nadzwyczajnego walnego zgromadzenia i umieszczenia określonych spraw w porządku obrad tego zgromadzenia; statut może upoważnić do żądania zwołania nadzwyczajnego walnego zgromadzenia akcjonariuszy reprezentujących mniej niż jedną dwudziestą kapitału zakładowego. Żądanie zwołania nadzwyczajnego walnego zgromadzenia należy złożyć zarządowi Emitenta na piśmie lub w postaci elektronicznej. Jeżeli w terminie dwóch tygodni od dnia przedstawienia żądania zarządowi nadzwyczajne walne zgromadzenie nie zostanie zwołane, sąd rejestrowy może upoważnić do zwołania nadzwyczajnego walnego zgromadzenia akcjonariuszy występujących z tym żądaniem. Sąd wyznacza przewodniczącego tego zgromadzenia.,</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na podstawie art. 401 § 1-3 kodeksu spółek handlowych akcjonariusz lub akcjonariusze reprezentujący co najmniej jedną dwudziestą kapitału zakładowego mogą żądać umieszczenia określonych spraw w porządku obrad najbliższego walnego zgromadzenia. Żądanie powinno zostać zgłoszone zarządowi Emitenta nie później niż na dwadzieścia jeden dni przed wyznaczonym terminem zgromadzenia. Żądanie powinno zawierać uzasadnienie lub projekt uchwały dotyczącej proponowanego punktu porządku obrad. Żądanie może zostać złożone w postaci elektronicznej. Zarząd  Emitenta jest obowiązany niezwłocznie, jednak nie później niż na osiemnaście dni przed wyznaczonym terminem walnego zgromadzenia, ogłosić zmiany w porządku obrad, wprowadzone na żądanie akcjonariuszy..</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na podstawie art. 401 § 4 kodeksu spółek handlowych akcjonariusz lub akcjonariusze Emitenta reprezentujący co najmniej jedną dwudziestą kapitału zakładowego mogą przed terminem walnego zgromadzenia zgłaszać Spółce na piśmie lub przy wykorzystaniu środków komunikacji elektronicznej projekty uchwał dotyczące spraw wprowadzonych do porządku obrad walnego zgromadzenia lub spraw, które mają zostać wprowadzone do porządku obrad. Spółka niezwłocznie ogłasza projekty uchwał na stronie internetowej</w:t>
      </w:r>
    </w:p>
    <w:p w:rsidR="00435654"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na podstawie art. 401 § 5 kodeksu spółek handlowych każdy z akcjonariuszy może podczas walnego zgromadzenia zgłaszać projekty uchwał dotyczące spraw wprowadzonych do porządku obrad.</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 xml:space="preserve">zgodnie z art. 406(1) Kodeksu spółek handlowych prawo uczestniczenia w walnym zgromadzeniu Emitenta mają tylko osoby będące akcjonariuszami spółki na szesnaście dni przed datą walnego zgromadzenia (dzień rejestracji). Zasadę tą stosuje się  jednolicie dla uprawnionych z akcji na okaziciela i akcji imiennych. Warunkiem uczestnictwa w Walnym Zgromadzeniu Emitenta dla akcjonariuszy posiadających akcje zdematerializowane jest </w:t>
      </w:r>
      <w:r w:rsidRPr="00CE7EE5">
        <w:rPr>
          <w:rStyle w:val="paragraphwciecie"/>
          <w:rFonts w:ascii="Arial" w:hAnsi="Arial" w:cs="Arial"/>
          <w:sz w:val="20"/>
          <w:szCs w:val="20"/>
        </w:rPr>
        <w:t xml:space="preserve"> zgłoszenie </w:t>
      </w:r>
      <w:r w:rsidRPr="00CE7EE5">
        <w:rPr>
          <w:rFonts w:ascii="Arial" w:hAnsi="Arial" w:cs="Arial"/>
          <w:sz w:val="20"/>
          <w:szCs w:val="20"/>
        </w:rPr>
        <w:t>nie wcześniej niż po ogłoszeniu o zwołaniu walnego zgromadzenia i nie później niż w pierwszym dniu powszednim po dniu rejestracji uczestnictwa w walnym zgromadzeniu, do podmiot prowadzący rachunek papierów wartościo</w:t>
      </w:r>
      <w:r w:rsidR="00481747">
        <w:rPr>
          <w:rFonts w:ascii="Arial" w:hAnsi="Arial" w:cs="Arial"/>
          <w:sz w:val="20"/>
          <w:szCs w:val="20"/>
        </w:rPr>
        <w:t>wych żądania wystawienia imiennego zaświadczenia</w:t>
      </w:r>
      <w:r w:rsidRPr="00CE7EE5">
        <w:rPr>
          <w:rFonts w:ascii="Arial" w:hAnsi="Arial" w:cs="Arial"/>
          <w:sz w:val="20"/>
          <w:szCs w:val="20"/>
        </w:rPr>
        <w:t xml:space="preserve"> o prawie uczestnictwa w walnym zgromadzeniu.</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Akcjonariusz ma prawo uczestniczyć w Walnym Zgromadzeniu Emitenta osobiście lub przez Pełnomocnika. Pełnomocnictwo do uczestniczenia w walnym zgromadzeniu Emitenta i wykonywania prawa głosu wymaga udzielenia na piśmie lub w postaci elektronicznej. Udzielenie pełnomocnictwa w postaci elektronicznej nie wymaga opatrzenia bezpiecznym podpisem elektronicznym weryfikowanym przy pomocy ważnego kwalifikowanego certyfikatu. Art. 411 § 1 KSH przyznaje każdej akcji jeden głos na Walnym Zgromadzeniu, Akcjonariusz może głosować odmiennie z każdej posiadanej akcji.</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na podstawie art. 407 § 1 KSH  akcjonariusz ma prawo do przeglądania listy akcjonariuszy w lokalu spółki oraz prawo do żądania sporządzenia odpisu listy akcjonariuszy uprawnionych do udziału w Walnym Zgromadzeniu za zwrotem kosztów jego sporządzenia. Ponadto Akcjonariusz Emitenta może żądać przesłania mu listy akcjonariuszy nieodpłatnie pocztą elektroniczną, podając adres, na który lista powinna być wysłana. Zgodnie z art. 407 § 2 KSH określa także prawo do żądania wydania odpisu wniosków w sprawach objętych porządkiem Walnego Zgromadzenia. Żądanie takie powinno być złożone do Zarządu Spółki, a wydanie odpisów wniosków nie powinno nastąpić później niż na tydzień przed Walnym Zgromadzeniem,</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na podstawie art. 410 § 1 KSH niezwłocznie po wyborze przewodniczącego Walnego Zgromadzenia sporządza się listę obecności zawierającą spis  uczestników Walnego Zgromadzenia z wymienieniem liczby akcji Emitenta, które każdy z tych uczestników przedstawia, i służących im głosów. Lista powinna być podpisana przez przewodniczącego walnego zgromadzenia i wyłożona do wglądu podczas obrad Zgromadzenia. Art. § 2 410 KSH określa prawo do sprawdzenia, na wniosek akcjonariuszy posiadających 1/10 kapitału zakładowego reprezentowanego na Walnym Zgromadzeniu, listy obecności uczestników Walnego Zgromadzenia. Lista obecności powinna być sprawdzona przez wybraną w tym celu komisję, która składa się z co najmniej trzech osób. Jednego z członków komisji mogą wybrać akcjonariusze wnioskujący o sprawdzenie listy obecności,</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 xml:space="preserve">prawo akcjonariusza do głosowania na Walnym Zgromadzeniu  określone jest w art. 411 Kodeksu spółek handlowych. Statut Spółki nie przewiduje ograniczenia prawa głosu akcjonariusza Spółki mającego ponad jedną  dziesiątą ogółu głosów w Spółce. Walne Zgromadzenie Spółki jest organem uprawnionym do podejmowania, w drodze  uchwał, decyzji dotyczących spraw w zakresie organizacji i funkcjonowania Spółki, </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zgodnie z art. 385 § 3 KSH na wniosek akcjonariusza lub akcjonariuszy reprezentujących co najmniej jedną piątą kapitału zakładowego Emitenta, nawet gdy Statut przewiduje inny sposób powołania rady nadzorczej, wybór Rady Nadzorczej Spółki następuje w drodze głosowania oddzielnymi grupami. Paragraf 5 tego artykułu stanowi, że akcjonariusze reprezentujący na Walnym Zgromadzeniu tę część akcji, która przypada z podziału ogólnej liczby akcji reprezentowanych na Walnym Zgromadzeniu przez liczbę członków Rady Nadzorczej, mogą utworzyć oddzielna grupę, aby wybrać jednego członka Rady Nadzorczej. Skorzystanie z tej opcji skutkuje jednak tym, że akcjonariusze ci nie biorą udziału w wyborze pozostałych członków Rady Nadzorczej. Art. 385 § 6  KSH reguluje kwestię obsadzenia mandatów, które pozostały nieobsadzone przez grupę akcjonariuszy utworzoną zgodnie z art. 385 § 5 KSH. Mandaty te powinny zostać obsadzone w drodze głosowania przez wszystkich akcjonariuszy Emitenta, którzy nie oddali głosów przy wyborze członków Rady Nadzorczej wybieranych w drodze głosowania oddzielnymi grupami,</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Na podstawie art. 421 § 3  KSH akcjonariuszowi przysługuje prawo do przeglądania księgi protokołów Walnego Zgromadzenia oraz prawo żądania wydania poświadczonych przez Zarząd odpisów uchwał,</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prawo do zaskarżania uchwał Walnego Zgromadzenia przysługuje akcjonariuszom na zasadach określonych w art. 422 - 427 KSH. Art. 422 KSH przyznaje akcjonariuszowi prawo do zaskarżenia uchwały Walnego Zgromadzenia, która jest sprzeczna ze Statutem bądź dobrymi obyczajami i godzi w interes Spółki lub ma na celu jego pokrzywdzenie. Uchwałę można zaskarżyć w drodze powództwa o uchylenie uchwały podjętej przez Walne Zgromadzenie Spółki wytoczonego przeciwko tej Spółce. Zgodnie z art. 422 § 2 KSH prawo do wytoczenia powództwa o uchylenie uchwały walnego zgromadzenia przysługuje m.in.:</w:t>
      </w:r>
    </w:p>
    <w:p w:rsidR="00435654" w:rsidRPr="00CE7EE5" w:rsidRDefault="00435654" w:rsidP="00CE7EE5">
      <w:pPr>
        <w:numPr>
          <w:ilvl w:val="1"/>
          <w:numId w:val="8"/>
        </w:numPr>
        <w:spacing w:after="0" w:line="360" w:lineRule="auto"/>
        <w:jc w:val="both"/>
        <w:rPr>
          <w:rFonts w:ascii="Arial" w:hAnsi="Arial" w:cs="Arial"/>
          <w:sz w:val="20"/>
          <w:szCs w:val="20"/>
        </w:rPr>
      </w:pPr>
      <w:r w:rsidRPr="00CE7EE5">
        <w:rPr>
          <w:rFonts w:ascii="Arial" w:hAnsi="Arial" w:cs="Arial"/>
          <w:sz w:val="20"/>
          <w:szCs w:val="20"/>
        </w:rPr>
        <w:t>akcjonariuszowi, który głosował przeciwko uchwale, a po jej powzięciu zażądał zaprotokołowania sprzeciwu; wymóg głosowania nie dotyczy akcjonariusza akcji niemej,</w:t>
      </w:r>
    </w:p>
    <w:p w:rsidR="00435654" w:rsidRPr="00CE7EE5" w:rsidRDefault="00435654" w:rsidP="00CE7EE5">
      <w:pPr>
        <w:numPr>
          <w:ilvl w:val="1"/>
          <w:numId w:val="8"/>
        </w:numPr>
        <w:spacing w:after="0" w:line="360" w:lineRule="auto"/>
        <w:jc w:val="both"/>
        <w:rPr>
          <w:rFonts w:ascii="Arial" w:hAnsi="Arial" w:cs="Arial"/>
          <w:sz w:val="20"/>
          <w:szCs w:val="20"/>
        </w:rPr>
      </w:pPr>
      <w:r w:rsidRPr="00CE7EE5">
        <w:rPr>
          <w:rFonts w:ascii="Arial" w:hAnsi="Arial" w:cs="Arial"/>
          <w:sz w:val="20"/>
          <w:szCs w:val="20"/>
        </w:rPr>
        <w:t>akcjonariuszowi bezzasadnie niedopuszczonemu do udziału w walnym zgromadzeniu,</w:t>
      </w:r>
    </w:p>
    <w:p w:rsidR="00435654" w:rsidRPr="00CE7EE5" w:rsidRDefault="00435654" w:rsidP="00CE7EE5">
      <w:pPr>
        <w:numPr>
          <w:ilvl w:val="1"/>
          <w:numId w:val="8"/>
        </w:numPr>
        <w:spacing w:after="0" w:line="360" w:lineRule="auto"/>
        <w:jc w:val="both"/>
        <w:rPr>
          <w:rFonts w:ascii="Arial" w:hAnsi="Arial" w:cs="Arial"/>
          <w:sz w:val="20"/>
          <w:szCs w:val="20"/>
        </w:rPr>
      </w:pPr>
      <w:r w:rsidRPr="00CE7EE5">
        <w:rPr>
          <w:rFonts w:ascii="Arial" w:hAnsi="Arial" w:cs="Arial"/>
          <w:sz w:val="20"/>
          <w:szCs w:val="20"/>
        </w:rPr>
        <w:t>akcjonariuszom, którzy nie byli obecni na walnym zgromadzeniu, jedynie w przypadku wadliwego zwołania walnego zgromadzenia lub też powzięcia uchwały w sprawie nieobjętej porządkiem obrad.</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Termin na wniesienie powództwa o uchylenie uchwały walnego zgromadzenia zgodnie z art. 424 KSH wynosi miesiąc od dnia otrzymania wiadomości o uchwale, jednak nie później, niż w terminie sześciu miesięcy od dnia powzięcia uchwały. W przypadku Emitenta jako spółki publicznej termin do wniesienia powództwa o uchylenie uchwały Walnego Zgromadzenia wynosi  miesiąc od momentu, w którym akcjonariusz otrzymał wiadomość o uchwale, ale nie później niż w terminie trzech miesięcy od dnia powzięcia uchwały przez Walne Zgromadzenie. Po przeprowadzeniu rozprawy, która umożliwi skarżącemu uchwałę Walnego Zgromadzenia przedstawienie argumentów przemawiających za zawieszeniem postępowania rejestrowego do czasu rozpatrzenia jego powództwa, sąd rejestrowy może zawiesić postępowanie. Akcjonariuszom wymienionym w art. 422 § 2 KSH przysługuje także prawo do wytoczenia przeciwko spółce powództwa o stwierdzenie nieważności uchwały Walnego Zgromadzenia, która jest sprzeczna z ustawą - art. 425 Kodeksu spółek handlowych. Art. 425 § 3  KSH stanowi, iż  w przypadku spółki publicznej powództwo takie powinno być wniesione w terminie trzydziestu dni od dnia ogłoszenia uchwały Walnego Zgromadzenia, ale nie później niż w terminie roku od dnia powzięcia uchwały przez Walne Zgromadzenie. Po przeprowadzeniu rozprawy, która umożliwi skarżącemu uchwałę Walnego Zgromadzenia przedstawienie argumentów przemawiających za zawieszeniem postępowania rejestrowego do czasu rozpatrzenia jego powództwa, sąd rejestrowy może zawiesić postępowanie,</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 xml:space="preserve">na podstawie art. 428 § 1 KSH akcjonariuszowi podczas obrad walnego zgromadzenia przysługuje prawo do żądania udzielenia przez Zarząd informacji dotyczących Spółki, jeżeli jest to uzasadnione dla oceny sprawy objętej porządkiem obrad. Udzielenie żądanej przez akcjonariusza informacji jest obligatoryjne. Jednak mimo tego wedle art. 428 § 2 KSH Zarząd  odmawia udzielenia informacji, gdy: </w:t>
      </w:r>
    </w:p>
    <w:p w:rsidR="00435654" w:rsidRPr="00CE7EE5" w:rsidRDefault="00435654" w:rsidP="00CE7EE5">
      <w:pPr>
        <w:numPr>
          <w:ilvl w:val="1"/>
          <w:numId w:val="8"/>
        </w:numPr>
        <w:spacing w:after="0" w:line="360" w:lineRule="auto"/>
        <w:jc w:val="both"/>
        <w:rPr>
          <w:rFonts w:ascii="Arial" w:hAnsi="Arial" w:cs="Arial"/>
          <w:sz w:val="20"/>
          <w:szCs w:val="20"/>
        </w:rPr>
      </w:pPr>
      <w:r w:rsidRPr="00CE7EE5">
        <w:rPr>
          <w:rFonts w:ascii="Arial" w:hAnsi="Arial" w:cs="Arial"/>
          <w:sz w:val="20"/>
          <w:szCs w:val="20"/>
        </w:rPr>
        <w:t xml:space="preserve">mogłoby to wyrządzić szkodę spółce, spółce z nią powiązanej albo spółce lub spółdzielni zależnej, w szczególności przez ujawnienie tajemnic technicznych, handlowych lub organizacyjnych przedsiębiorstwa., lub </w:t>
      </w:r>
    </w:p>
    <w:p w:rsidR="00435654" w:rsidRPr="00CE7EE5" w:rsidRDefault="00435654" w:rsidP="00CE7EE5">
      <w:pPr>
        <w:numPr>
          <w:ilvl w:val="1"/>
          <w:numId w:val="8"/>
        </w:numPr>
        <w:spacing w:after="0" w:line="360" w:lineRule="auto"/>
        <w:jc w:val="both"/>
        <w:rPr>
          <w:rFonts w:ascii="Arial" w:hAnsi="Arial" w:cs="Arial"/>
          <w:sz w:val="20"/>
          <w:szCs w:val="20"/>
        </w:rPr>
      </w:pPr>
      <w:r w:rsidRPr="00CE7EE5">
        <w:rPr>
          <w:rFonts w:ascii="Arial" w:hAnsi="Arial" w:cs="Arial"/>
          <w:sz w:val="20"/>
          <w:szCs w:val="20"/>
        </w:rPr>
        <w:t xml:space="preserve">mogłoby narazić Członka Zarządu na poniesienie odpowiedzialności karnej, cywilnoprawnej lub administracyjnej. </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W uzasadnionych przypadkach Zarząd może udzielić akcjonariuszowi informacji, której żąda na piśmie poza Walnym Zgromadzeniem (art. 428 § 3 KSH). Jednak nie może to nastąpić później niż w terminie dwóch tygodni od dnia zakończenia Walnego Zgromadzenia. Przy uwzględnieniu ograniczeń wynikających z art. 428 § 2 KSH Zarząd może udzielić akcjonariuszowi informacji dotyczących spółki poza walnym zgromadzeniem. Informacje te wraz z podaniem daty ich przekazania i osoby, której ich udzielono, powinny być ujawnione przez Zarząd na piśmie w materiałach przedkładanych najbliższemu Walnemu Zgromadzeniu. W materiałach tych nie muszą być uwzględnione informacje podane do wiadomości publicznej oraz udzielone podczas walnego zgromadzenia.</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art. 429 § 1 Kodeksu spółek handlowych chroni akcjonariusza, któremu nie udzielono informacji o których mowa w art. 428 § 1 Kodeksu spółek handlowych, poprzez nadanie mu prawa – o ile zgłosił sprzeciw do protokołu - do złożenia wniosku do sądu rejestrowego o zobowiązanie Zarządu do udzielenia takiej informacji bądź też, na podstawie art. 429 § 2 KSH o zobowiązanie Emitenta do ogłoszenia informacji udzielonych innemu akcjonariuszowi poza Walnym Zgromadzeniem zgodnie z art. 428 § 4 KSH. Zgodnie z art. 429 § 2 KSH wniosek do sądu rejestrowego, należy złożyć w terminie tygodnia od zakończenia Walnego Zgromadzenia, na którym akcjonariuszowi odmówiono udzielenia żądanych informacji,</w:t>
      </w:r>
    </w:p>
    <w:p w:rsidR="00435654"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akcjonariusz posiada także prawo do wniesienia pozwu o naprawienie szkody wyrządzonej Spółce na zasadach określonych w art. 486 i 487 KSH, jeżeli Spółka nie wytoczy powództwa o naprawienie wyrządzonej jej szkody w terminie roku od dnia ujawnienia czynu wyrządzającego szkodę,</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w trybie art. 6 § 4 i 5 Kodeksu spółek handlowych akcjonariusz może żądać (żądanie to powinno być udzielone na piśmie) od spółki handlowej będącej również akcjonariuszem Emitenta udzielenia pisemnej informacji na temat pozostawania przez nią w stosunku dominacji lub zależności w rozumieniu art. 4 § 1 pkt 4 KSH wobec innej określonej spółki handlowej albo spółdzielni będącej także akcjonariuszem Emitenta bądź informacji na temat czy taki stosunek dominacji lub zależności ustał. Akcjonariusz, który ma prawo do żądania powyższych informacji, może również zażądać ujawnienia liczby udziałów lub głosów, które posiada ta spółka handlowa, w tym także, które posiada jako zastawnik, użytkownik lub na podstawie porozumień z innymi osobami.</w:t>
      </w:r>
    </w:p>
    <w:p w:rsidR="00435654" w:rsidRPr="00CE7EE5" w:rsidRDefault="00435654" w:rsidP="00CE7EE5">
      <w:pPr>
        <w:pStyle w:val="Nagwek4"/>
        <w:spacing w:before="0" w:line="360" w:lineRule="auto"/>
        <w:ind w:firstLine="360"/>
        <w:rPr>
          <w:rFonts w:ascii="Arial" w:hAnsi="Arial" w:cs="Arial"/>
          <w:b w:val="0"/>
          <w:i w:val="0"/>
          <w:color w:val="auto"/>
          <w:sz w:val="20"/>
          <w:szCs w:val="20"/>
        </w:rPr>
      </w:pPr>
      <w:r w:rsidRPr="00CE7EE5">
        <w:rPr>
          <w:rFonts w:ascii="Arial" w:hAnsi="Arial" w:cs="Arial"/>
          <w:sz w:val="20"/>
          <w:szCs w:val="20"/>
        </w:rPr>
        <w:t xml:space="preserve"> </w:t>
      </w:r>
      <w:r w:rsidRPr="00CE7EE5">
        <w:rPr>
          <w:rFonts w:ascii="Arial" w:hAnsi="Arial" w:cs="Arial"/>
          <w:b w:val="0"/>
          <w:i w:val="0"/>
          <w:color w:val="auto"/>
          <w:sz w:val="20"/>
          <w:szCs w:val="20"/>
        </w:rPr>
        <w:t>Uprawnienia majątkowe przysługujące akcjonariuszom zgodnie z KSH</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 xml:space="preserve">Na podstawie art. 347 § 1 KSH akcjonariuszom przysługuje prawo do udziału w zysku spółki, który został wskazany w sprawozdaniu finansowym, zbadanym przez biegłego rewidenta, który został przeznaczony przez Walne Zgromadzenie do wypłaty akcjonariuszom. Dywidendę rozdziela się w stosunku do liczby udziałów jakie posiada akcjonariusz w dniu dywidendy ustalonym przez Walne Zgromadzenie. Według art. 348 § 3 KSH zwyczajne walne zgromadzenie spółki publicznej ustala dzień dywidendy oraz termin wypłaty dywidendy. Dzień dywidendy może być wyznaczony na dzień powzięcia uchwały albo w okresie kolejnych trzech miesięcy, licząc od tego dnia. Zasady te powinny być stosowane z uwzględnieniem terminów, które określone są w regulacjach KDPW i GPW. Organem właściwym do powzięcia uchwały o podziale zysku lub pokryciu straty oraz o wypłacie dywidendy jest Zwyczajne Walne Zgromadzenie (art. 395 KSH). Informacje dotyczące wypłaty dywidendy ogłaszane są w formie raportów bieżących. Z uwagi na fakt, iż Statut Emitenta nie zawiera żadnych szczególnych regulacji dotyczących sposobu podziału zysku ani nie przewiduje w tym zakresie żadnego uprzywilejowania dla niektórych akcji, ogólne zasady opisane powyżej znajdują zastosowanie. Statut Emitenta nie zawiera także odmiennych od Kodeksu spółek handlowych i regulacji KDPW postanowień odnośnie warunków odbioru dywidendy regulujących kwestię odbioru dywidendy. W związku z tym w zakresie Emitenta obowiązywać będą warunki odbioru dywidendy ustalone zgodnie z zasadami znajdującymi zastosowanie dla spółek publicznych: </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Wypłata dywidendy, która przysługuje akcjonariuszom posiadającym zdematerializowane akcje spółki publicznej, następuje za pośrednictwem systemu depozytowego KDPW. Wypłata ta realizowana jest poprzez pozostawienie przez Emitenta na wskazanym przez KDPW rachunku pieniężnym lub rachunku bankowym środków na wykonywanie prawa do dywidendy. Środki przekazane przez Emitenta są rozdzielane przez KDPW na rachunki uczestników KDPW, którzy następnie przekażą je na poszczególne rachunki papierów wartościowych akcjonariuszy. Rachunki osób uprawnionych do dywidendy prowadzone są przez domy maklerskie,</w:t>
      </w:r>
    </w:p>
    <w:p w:rsidR="00435654"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Na podstawie uregulowań zawartych w Statucie Emitenta możliwe jest wypłacanie zaliczek na poczet przewidywanej dywidendy.</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Kolejnym prawem majątkowym przysługującym akcjonariuszowi jest uregulowane w art. 433 KSH prawo poboru, czyli w przypadku nowej emisji akcji prawo pierwszeństwa do objęcia nowych akcji. Zgodnie z art. 433 § 1 KSH akcjonariusz Emitenta obejmuje nowe akcje w stosunku do liczby akcji już posiadanych. Uprawnienie to odnosi się także do emitowanych przez Spółkę papierów wartościowych zamiennych na akcje Spółki lub takich, które inkorporują prawo zapisu na akcje. Art. 433 § 2 KSH umożliwia Walnemu Zgromadzeniu podjęcie uchwały pozbawiającej w całości lub części dotychczasowych akcjonariuszy prawa poboru nowych akcji. Uchwała taka może zostać podjęta, gdy przemawia za tym interes Spółki. Jej podjęcie wymaga zachowania warunków wynikających z art. 433 § 2 KSH, tj.:</w:t>
      </w:r>
    </w:p>
    <w:p w:rsidR="00435654" w:rsidRPr="00CE7EE5" w:rsidRDefault="00435654" w:rsidP="00CE7EE5">
      <w:pPr>
        <w:numPr>
          <w:ilvl w:val="1"/>
          <w:numId w:val="9"/>
        </w:numPr>
        <w:spacing w:after="0" w:line="360" w:lineRule="auto"/>
        <w:jc w:val="both"/>
        <w:rPr>
          <w:rFonts w:ascii="Arial" w:hAnsi="Arial" w:cs="Arial"/>
          <w:sz w:val="20"/>
          <w:szCs w:val="20"/>
        </w:rPr>
      </w:pPr>
      <w:r w:rsidRPr="00CE7EE5">
        <w:rPr>
          <w:rFonts w:ascii="Arial" w:hAnsi="Arial" w:cs="Arial"/>
          <w:sz w:val="20"/>
          <w:szCs w:val="20"/>
        </w:rPr>
        <w:t>większości co najmniej czterech piątych głosów oddanych za uchwałą,</w:t>
      </w:r>
    </w:p>
    <w:p w:rsidR="00435654" w:rsidRPr="00CE7EE5" w:rsidRDefault="00435654" w:rsidP="00CE7EE5">
      <w:pPr>
        <w:numPr>
          <w:ilvl w:val="1"/>
          <w:numId w:val="9"/>
        </w:numPr>
        <w:spacing w:after="0" w:line="360" w:lineRule="auto"/>
        <w:jc w:val="both"/>
        <w:rPr>
          <w:rFonts w:ascii="Arial" w:hAnsi="Arial" w:cs="Arial"/>
          <w:sz w:val="20"/>
          <w:szCs w:val="20"/>
        </w:rPr>
      </w:pPr>
      <w:r w:rsidRPr="00CE7EE5">
        <w:rPr>
          <w:rFonts w:ascii="Arial" w:hAnsi="Arial" w:cs="Arial"/>
          <w:sz w:val="20"/>
          <w:szCs w:val="20"/>
        </w:rPr>
        <w:t>zapowiedzenia w porządku obrad Walnego Zgromadzenia zamiaru podjęciu uchwały o pozbawieniu akcjonariuszy prawa poboru akcji,</w:t>
      </w:r>
    </w:p>
    <w:p w:rsidR="00435654" w:rsidRPr="00CE7EE5" w:rsidRDefault="00435654" w:rsidP="00CE7EE5">
      <w:pPr>
        <w:numPr>
          <w:ilvl w:val="1"/>
          <w:numId w:val="9"/>
        </w:numPr>
        <w:spacing w:after="0" w:line="360" w:lineRule="auto"/>
        <w:jc w:val="both"/>
        <w:rPr>
          <w:rFonts w:ascii="Arial" w:hAnsi="Arial" w:cs="Arial"/>
          <w:sz w:val="20"/>
          <w:szCs w:val="20"/>
        </w:rPr>
      </w:pPr>
      <w:r w:rsidRPr="00CE7EE5">
        <w:rPr>
          <w:rFonts w:ascii="Arial" w:hAnsi="Arial" w:cs="Arial"/>
          <w:sz w:val="20"/>
          <w:szCs w:val="20"/>
        </w:rPr>
        <w:t xml:space="preserve">przedstawienia przez Zarząd Walnemu Zgromadzeniu pisemnej opinii, w której zostaną podane powody uzasadniające pozbawienie prawa poboru akcjonariuszy oraz proponowaną cenę emisyjną nowych akcji bądź sposób jej ustalenia. </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Akcjonariuszom przysługuje także prawo żądania uzupełnienia liczby likwidatorów Spółki. W przypadku braku odmiennej regulacji w uchwale Walnego Zgromadzenia w przedmiocie likwidacji, likwidatorami spółki akcyjnej, na podstawie art. 463 § 1 KSH, są członkowie zarządu. Kodeks spółek handlowych w art. 463 § 2 przewiduje jednak możliwość złożenia przez akcjonariusza lub akcjonariuszy reprezentujących co najmniej jedną dziesiąta kapitału zakładowego spółki wniosku do sądu rejestrowego właściwego dla spółki o uzupełnienie liczby likwidatorów poprzez ustanowienie jednego lub dwóch likwidatorów.</w:t>
      </w:r>
    </w:p>
    <w:p w:rsidR="00435654"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Art. 474 KSH ustanawia prawo akcjonariusza do uczestniczenia w podziale majątku Emitenta w przypadku jego likwidacji. Jak stanowi art. 468 § 1 KSH likwidatorzy spółki akcyjnej  powinni dokonać czynności likwidacyjnych, tj. zakończyć interesy bieżące spółki, ściągając jej wierzytelności, wypełnić zobowiązania ciążące na spółce i upłynnić majątek spółki. Przywoływany wyżej art. 474 § 1 KSH  stanowi, iż po zaspokojeniu lub zabezpieczeniu wierzycieli spółki może nastąpić podział pomiędzy akcjonariuszy pozostałego majątku spółki, przy czym podział ten nie może nastąpić przed upływem roku od dnia ostatniego ogłoszenia o otwarciu likwidacji i wezwaniu wierzycieli. Majątek pozostały po zaspokojeniu lub zabezpieczeniu wierzycieli spółki dzieli się między akcjonariuszy w stosunku do dokonanych przez każdego z nich wpłat na kapitał zakładowy spółki, o czym mowa w art. 474 § 2 KSH. Wielkość wpłat akcjonariuszy na kapitał zakładowy obliczana jest na podstawie liczby i wartości posiadanych przez danego akcjonariusza akcji.</w:t>
      </w:r>
    </w:p>
    <w:p w:rsidR="00435654" w:rsidRPr="00CE7EE5"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W ramach uprawnień o charakterze majątkowym akcjonariusz ma także prawo do zbywania posiadanych akcji oraz do ustanowienia zastawu lub użytkowania na tych akcjach. W okresie, gdy akcje spółki publicznej, na których ustanowiono zastaw lub użytkowanie, są zapisane na rachunkach papierów wartościowych w domu maklerskim lub w banku prowadzącym rachunki papierów wartościowych, prawo głosu z tych akcji przysługuje akcjonariuszowi(art. 340 § 3 KSH).</w:t>
      </w:r>
    </w:p>
    <w:p w:rsidR="00435654" w:rsidRDefault="00435654" w:rsidP="00CE7EE5">
      <w:pPr>
        <w:numPr>
          <w:ilvl w:val="0"/>
          <w:numId w:val="8"/>
        </w:numPr>
        <w:spacing w:after="0" w:line="360" w:lineRule="auto"/>
        <w:jc w:val="both"/>
        <w:rPr>
          <w:rFonts w:ascii="Arial" w:hAnsi="Arial" w:cs="Arial"/>
          <w:sz w:val="20"/>
          <w:szCs w:val="20"/>
        </w:rPr>
      </w:pPr>
      <w:r w:rsidRPr="00CE7EE5">
        <w:rPr>
          <w:rFonts w:ascii="Arial" w:hAnsi="Arial" w:cs="Arial"/>
          <w:sz w:val="20"/>
          <w:szCs w:val="20"/>
        </w:rPr>
        <w:t>W szczególności zgodnie z art. 406(4) KSH Akcjonariusz spółki publicznej może przenosić akcje w okresie między dniem rejestracji uczestnictwa w walnym zgromadzeniu a dniem zakończenia walnego zgromadzenia.</w:t>
      </w:r>
    </w:p>
    <w:p w:rsidR="00340132" w:rsidRPr="00CE7EE5" w:rsidRDefault="00340132" w:rsidP="00340132">
      <w:pPr>
        <w:spacing w:after="0" w:line="360" w:lineRule="auto"/>
        <w:jc w:val="both"/>
        <w:rPr>
          <w:rFonts w:ascii="Arial" w:hAnsi="Arial" w:cs="Arial"/>
          <w:sz w:val="20"/>
          <w:szCs w:val="20"/>
        </w:rPr>
      </w:pPr>
    </w:p>
    <w:p w:rsidR="00435654" w:rsidRDefault="00435654" w:rsidP="00CE7EE5">
      <w:pPr>
        <w:pStyle w:val="Nagwek4"/>
        <w:spacing w:before="0" w:line="360" w:lineRule="auto"/>
        <w:rPr>
          <w:rFonts w:ascii="Arial" w:hAnsi="Arial" w:cs="Arial"/>
          <w:b w:val="0"/>
          <w:color w:val="auto"/>
          <w:sz w:val="20"/>
          <w:szCs w:val="20"/>
        </w:rPr>
      </w:pPr>
      <w:bookmarkStart w:id="0" w:name="_Toc137272581"/>
      <w:bookmarkStart w:id="1" w:name="_Toc137272583"/>
      <w:r w:rsidRPr="00CE7EE5">
        <w:rPr>
          <w:rFonts w:ascii="Arial" w:hAnsi="Arial" w:cs="Arial"/>
          <w:b w:val="0"/>
          <w:color w:val="auto"/>
          <w:sz w:val="20"/>
          <w:szCs w:val="20"/>
        </w:rPr>
        <w:t>Prawa akcjonariusza wynikające z Ustawy o ofercie publicznej i Ustawy o obrocie instrumentami finansowymi</w:t>
      </w:r>
      <w:bookmarkEnd w:id="0"/>
    </w:p>
    <w:p w:rsidR="00340132" w:rsidRPr="00340132" w:rsidRDefault="00340132" w:rsidP="00340132"/>
    <w:p w:rsidR="00435654" w:rsidRPr="00CE7EE5" w:rsidRDefault="00435654" w:rsidP="000A4AC9">
      <w:pPr>
        <w:spacing w:after="0" w:line="360" w:lineRule="auto"/>
        <w:jc w:val="both"/>
        <w:rPr>
          <w:rFonts w:ascii="Arial" w:hAnsi="Arial" w:cs="Arial"/>
          <w:sz w:val="20"/>
          <w:szCs w:val="20"/>
        </w:rPr>
      </w:pPr>
      <w:r w:rsidRPr="00CE7EE5">
        <w:rPr>
          <w:rFonts w:ascii="Arial" w:hAnsi="Arial" w:cs="Arial"/>
          <w:b/>
          <w:bCs/>
          <w:sz w:val="20"/>
          <w:szCs w:val="20"/>
        </w:rPr>
        <w:t>Ustawa o obrocie instrumentami finansowymi</w:t>
      </w:r>
      <w:r w:rsidRPr="00CE7EE5">
        <w:rPr>
          <w:rFonts w:ascii="Arial" w:hAnsi="Arial" w:cs="Arial"/>
          <w:sz w:val="20"/>
          <w:szCs w:val="20"/>
        </w:rPr>
        <w:t xml:space="preserve"> - Dokumentem potwierdzającym fakt posiadania uprawnień inkorporowanych w zdematerializowanej akcji na okaziciela jest imienne świadectwo depozytowe z zastrzeżeniem iż dokumentem potwierdzającym prawo akcjonariusza do uczestnictwa w Walnym Zgromadzeniu Emitenta jest wyłącznie imienne zaświadczenie o prawie uczestnictwa w Walnym Zgromadzeniu. Świadectwo oraz zaświadczenie wystawiane są na żądanie akcjonariusza przez podmiot prowadzący rachunek papierów wartościowych. Akcjonariuszom posiadającym zdematerializowane akcje Emitenta nie przysługuje roszczenie o wydanie dokumentu akcji. Jednak zgodnie z art. 328 § 6 KSH akcjonariusze ci uzyskują prawo do otrzymania imiennego świadectwa depozytowego oraz imiennego zaświadczenia o prawie do uczestnictwa w Walnym Zgromadzeniu Emitenta wystawionego przez podmiot prowadzący rachunek papierów wartościowych. Od chwili wystawienia świadectwa, papiery wartościowe w liczbie wskazanej w treści świadectwa nie mogą być przedmiotem obrotu do chwili utraty jego ważności albo zwrotu świadectwa wystawiającemu przed upływem terminu jego ważności. Na okres ten wystawiający dokonuje blokady odpowiedniej liczby papierów wartościowych na tym rachunku.  W okresie, o którym mowa w zdaniu poprzedzającym, te same papiery wartościowe mogą być wskazane w treści kilku świadectw, pod warunkiem że cel wystawienia każdego ze świadectw jest odmienny. W takim przypadku w kolejnych świadectwach zamieszcza się również, informację o dokonaniu blokady papierów wartościowych w związku z wcześniejszym wystawieniem innych świadectw. </w:t>
      </w:r>
    </w:p>
    <w:p w:rsidR="00435654" w:rsidRDefault="00435654" w:rsidP="000A4AC9">
      <w:pPr>
        <w:spacing w:after="0" w:line="360" w:lineRule="auto"/>
        <w:jc w:val="both"/>
        <w:rPr>
          <w:rFonts w:ascii="Arial" w:hAnsi="Arial" w:cs="Arial"/>
          <w:sz w:val="20"/>
          <w:szCs w:val="20"/>
        </w:rPr>
      </w:pPr>
      <w:r w:rsidRPr="00CE7EE5">
        <w:rPr>
          <w:rFonts w:ascii="Arial" w:hAnsi="Arial" w:cs="Arial"/>
          <w:sz w:val="20"/>
          <w:szCs w:val="20"/>
        </w:rPr>
        <w:t>Roszczenie o wydanie dokumentu akcji zachowują akcjonariusze posiadający akcje Emitenta, które nie zostały zdematerializowane.</w:t>
      </w:r>
    </w:p>
    <w:p w:rsidR="00340132" w:rsidRPr="00CE7EE5" w:rsidRDefault="00340132" w:rsidP="000A4AC9">
      <w:pPr>
        <w:spacing w:after="0" w:line="360" w:lineRule="auto"/>
        <w:jc w:val="both"/>
        <w:rPr>
          <w:rFonts w:ascii="Arial" w:hAnsi="Arial" w:cs="Arial"/>
          <w:sz w:val="20"/>
          <w:szCs w:val="20"/>
        </w:rPr>
      </w:pPr>
    </w:p>
    <w:p w:rsidR="00435654" w:rsidRPr="00CE7EE5" w:rsidRDefault="00435654" w:rsidP="000A4AC9">
      <w:pPr>
        <w:spacing w:after="0" w:line="360" w:lineRule="auto"/>
        <w:jc w:val="both"/>
        <w:rPr>
          <w:rFonts w:ascii="Arial" w:hAnsi="Arial" w:cs="Arial"/>
          <w:sz w:val="20"/>
          <w:szCs w:val="20"/>
        </w:rPr>
      </w:pPr>
      <w:r w:rsidRPr="00CE7EE5">
        <w:rPr>
          <w:rFonts w:ascii="Arial" w:hAnsi="Arial" w:cs="Arial"/>
          <w:b/>
          <w:bCs/>
          <w:sz w:val="20"/>
          <w:szCs w:val="20"/>
        </w:rPr>
        <w:t>Ustawa o ofercie publicznej</w:t>
      </w:r>
      <w:r w:rsidRPr="00CE7EE5">
        <w:rPr>
          <w:rFonts w:ascii="Arial" w:hAnsi="Arial" w:cs="Arial"/>
          <w:sz w:val="20"/>
          <w:szCs w:val="20"/>
        </w:rPr>
        <w:t xml:space="preserve"> - art. 84 tej ustawy przyznaje akcjonariuszowi lub akcjonariuszom, którzy są posiadaczami przynajmniej 5% ogólnej liczby głosów na Walnym Zgromadzeniu, uprawnienie do złożenia wniosku o podjęcie uchwały w sprawie zbadania przez biegłego określonego zagadnienia związanego z utworzeniem spółki bądź też z prowadzeniem jej spraw (rewident do spraw szczególnych).  Rewidentem do spraw szczególnych może być wyłącznie podmiot posiadający wiedzę fachową i kwalifikacje niezbędne do zbadania sprawy określonej w uchwale walnego zgromadzenia, które zapewnią sporządzenie rzetelnego i obiektywnego sprawozdania z badania. Przed podjęciem uchwały zarząd spółki publicznej przedstawia walnemu zgromadzeniu pisemną opinię dotyczącą zgłoszonego wniosku. Uchwała walnego zgromadzenia, o wyznaczeniu rewidenta do spraw szczególnych, powinna zostać podjęta na walnym zgromadzeniu, którego porządek obrad obejmuje rozpatrzenie wniosku w sprawie tej uchwały.  </w:t>
      </w:r>
    </w:p>
    <w:p w:rsidR="00435654" w:rsidRPr="00CE7EE5" w:rsidRDefault="00435654" w:rsidP="000A4AC9">
      <w:pPr>
        <w:spacing w:after="0" w:line="360" w:lineRule="auto"/>
        <w:jc w:val="both"/>
        <w:rPr>
          <w:rFonts w:ascii="Arial" w:hAnsi="Arial" w:cs="Arial"/>
          <w:sz w:val="20"/>
          <w:szCs w:val="20"/>
        </w:rPr>
      </w:pPr>
      <w:r w:rsidRPr="00CE7EE5">
        <w:rPr>
          <w:rFonts w:ascii="Arial" w:hAnsi="Arial" w:cs="Arial"/>
          <w:sz w:val="20"/>
          <w:szCs w:val="20"/>
        </w:rPr>
        <w:t xml:space="preserve">Natomiast zgodnie z art. 85 Ustawy o ofercie publicznej, w przypadku niepodjęcia przez Walne Zgromadzenie uchwały o wyznaczeniu rewidenta do spraw szczególnych, lub podjęcia jej z naruszeniem procedury  wnioskodawcy mogą wystąpić do sądu rejestrowego w terminie 14 dni od dnia powzięcia uchwały o wyznaczenie wskazanego podmiotu jako rewidenta. </w:t>
      </w:r>
    </w:p>
    <w:bookmarkEnd w:id="1"/>
    <w:p w:rsidR="00435654" w:rsidRDefault="00435654" w:rsidP="000A4AC9">
      <w:pPr>
        <w:spacing w:after="0" w:line="360" w:lineRule="auto"/>
        <w:jc w:val="both"/>
        <w:rPr>
          <w:rFonts w:ascii="Arial" w:hAnsi="Arial" w:cs="Arial"/>
          <w:sz w:val="20"/>
          <w:szCs w:val="20"/>
        </w:rPr>
      </w:pPr>
      <w:r w:rsidRPr="00CE7EE5">
        <w:rPr>
          <w:rFonts w:ascii="Arial" w:hAnsi="Arial" w:cs="Arial"/>
          <w:sz w:val="20"/>
          <w:szCs w:val="20"/>
        </w:rPr>
        <w:t>Statut Emitenta nie przewiduje możliwość zamiany akcji. Art. 10 Statutu Emitenta przewiduje że wszystkie akcje Funduszu są akcjami zwykłymi na okaziciela.</w:t>
      </w:r>
    </w:p>
    <w:p w:rsidR="004E343D" w:rsidRPr="00CE7EE5" w:rsidRDefault="004E343D" w:rsidP="000A4AC9">
      <w:pPr>
        <w:spacing w:after="0" w:line="360" w:lineRule="auto"/>
        <w:jc w:val="both"/>
        <w:rPr>
          <w:rFonts w:ascii="Arial" w:hAnsi="Arial" w:cs="Arial"/>
          <w:sz w:val="20"/>
          <w:szCs w:val="20"/>
        </w:rPr>
      </w:pPr>
    </w:p>
    <w:p w:rsidR="009A6D88" w:rsidRPr="00CE7EE5" w:rsidRDefault="004E343D" w:rsidP="00CE7EE5">
      <w:pPr>
        <w:pStyle w:val="Akapitzlist"/>
        <w:numPr>
          <w:ilvl w:val="0"/>
          <w:numId w:val="1"/>
        </w:numPr>
        <w:tabs>
          <w:tab w:val="right" w:pos="0"/>
        </w:tabs>
        <w:autoSpaceDE w:val="0"/>
        <w:autoSpaceDN w:val="0"/>
        <w:adjustRightInd w:val="0"/>
        <w:spacing w:after="0" w:line="360" w:lineRule="auto"/>
        <w:ind w:left="567" w:hanging="567"/>
        <w:jc w:val="both"/>
        <w:rPr>
          <w:rFonts w:ascii="Arial" w:hAnsi="Arial" w:cs="Arial"/>
          <w:b/>
          <w:sz w:val="20"/>
          <w:szCs w:val="20"/>
        </w:rPr>
      </w:pPr>
      <w:r>
        <w:rPr>
          <w:rFonts w:ascii="Arial" w:hAnsi="Arial" w:cs="Arial"/>
          <w:b/>
          <w:sz w:val="20"/>
          <w:szCs w:val="20"/>
        </w:rPr>
        <w:t>S</w:t>
      </w:r>
      <w:r w:rsidR="009A6D88" w:rsidRPr="00CE7EE5">
        <w:rPr>
          <w:rFonts w:ascii="Arial" w:hAnsi="Arial" w:cs="Arial"/>
          <w:b/>
          <w:sz w:val="20"/>
          <w:szCs w:val="20"/>
        </w:rPr>
        <w:t>kład osobowy i zmiany, które w nim zaszły w ciągu ostatniego roku obrotowego, oraz opis działania organów zarządzających, nadzorujących lub administrując</w:t>
      </w:r>
      <w:r w:rsidR="00CE7EE5" w:rsidRPr="00CE7EE5">
        <w:rPr>
          <w:rFonts w:ascii="Arial" w:hAnsi="Arial" w:cs="Arial"/>
          <w:b/>
          <w:sz w:val="20"/>
          <w:szCs w:val="20"/>
        </w:rPr>
        <w:t>ych emitenta oraz ich komitetów</w:t>
      </w:r>
    </w:p>
    <w:p w:rsidR="00CE7EE5" w:rsidRPr="00CE7EE5" w:rsidRDefault="00CE7EE5" w:rsidP="00CE7EE5">
      <w:pPr>
        <w:tabs>
          <w:tab w:val="left" w:pos="680"/>
        </w:tabs>
        <w:autoSpaceDE w:val="0"/>
        <w:autoSpaceDN w:val="0"/>
        <w:adjustRightInd w:val="0"/>
        <w:spacing w:after="0" w:line="360" w:lineRule="auto"/>
        <w:ind w:left="680" w:hanging="272"/>
        <w:jc w:val="both"/>
        <w:rPr>
          <w:rFonts w:ascii="Arial" w:hAnsi="Arial" w:cs="Arial"/>
          <w:sz w:val="20"/>
          <w:szCs w:val="20"/>
        </w:rPr>
      </w:pPr>
    </w:p>
    <w:p w:rsidR="00CE7EE5" w:rsidRPr="00F71E4D" w:rsidRDefault="00CE7EE5" w:rsidP="00CE7EE5">
      <w:pPr>
        <w:pStyle w:val="StylTekstpodstawowyWyjustowany"/>
        <w:spacing w:line="360" w:lineRule="auto"/>
        <w:rPr>
          <w:rFonts w:ascii="Arial" w:hAnsi="Arial" w:cs="Arial"/>
          <w:sz w:val="20"/>
          <w:szCs w:val="20"/>
        </w:rPr>
      </w:pPr>
      <w:r w:rsidRPr="00F71E4D">
        <w:rPr>
          <w:rFonts w:ascii="Arial" w:hAnsi="Arial" w:cs="Arial"/>
          <w:sz w:val="20"/>
          <w:szCs w:val="20"/>
        </w:rPr>
        <w:t>Zarząd Funduszu na dzień 31 grudnia 20</w:t>
      </w:r>
      <w:r w:rsidR="000700D5">
        <w:rPr>
          <w:rFonts w:ascii="Arial" w:hAnsi="Arial" w:cs="Arial"/>
          <w:sz w:val="20"/>
          <w:szCs w:val="20"/>
        </w:rPr>
        <w:t>10</w:t>
      </w:r>
      <w:r w:rsidRPr="00F71E4D">
        <w:rPr>
          <w:rFonts w:ascii="Arial" w:hAnsi="Arial" w:cs="Arial"/>
          <w:sz w:val="20"/>
          <w:szCs w:val="20"/>
        </w:rPr>
        <w:t xml:space="preserve"> roku działał w składzie:</w:t>
      </w:r>
    </w:p>
    <w:p w:rsidR="00CE7EE5" w:rsidRPr="00F71E4D" w:rsidRDefault="00CE7EE5" w:rsidP="00CE7EE5">
      <w:pPr>
        <w:pStyle w:val="StylTekstpodstawowyWyjustowany"/>
        <w:spacing w:line="360" w:lineRule="auto"/>
        <w:rPr>
          <w:rFonts w:ascii="Arial" w:hAnsi="Arial" w:cs="Arial"/>
          <w:sz w:val="20"/>
          <w:szCs w:val="20"/>
        </w:rPr>
      </w:pPr>
      <w:r w:rsidRPr="00F71E4D">
        <w:rPr>
          <w:rFonts w:ascii="Arial" w:hAnsi="Arial" w:cs="Arial"/>
          <w:sz w:val="20"/>
          <w:szCs w:val="20"/>
        </w:rPr>
        <w:t>Rafał Bauer</w:t>
      </w:r>
      <w:r w:rsidRPr="00F71E4D">
        <w:rPr>
          <w:rFonts w:ascii="Arial" w:hAnsi="Arial" w:cs="Arial"/>
          <w:sz w:val="20"/>
          <w:szCs w:val="20"/>
        </w:rPr>
        <w:tab/>
        <w:t xml:space="preserve"> </w:t>
      </w:r>
      <w:r w:rsidRPr="00F71E4D">
        <w:rPr>
          <w:rFonts w:ascii="Arial" w:hAnsi="Arial" w:cs="Arial"/>
          <w:sz w:val="20"/>
          <w:szCs w:val="20"/>
        </w:rPr>
        <w:tab/>
        <w:t>–   Prezes Zarządu</w:t>
      </w:r>
    </w:p>
    <w:p w:rsidR="00CE7EE5" w:rsidRPr="00F71E4D" w:rsidRDefault="00CE7EE5" w:rsidP="00CE7EE5">
      <w:pPr>
        <w:pStyle w:val="StylTekstpodstawowyWyjustowany"/>
        <w:spacing w:line="360" w:lineRule="auto"/>
        <w:rPr>
          <w:rFonts w:ascii="Arial" w:hAnsi="Arial" w:cs="Arial"/>
          <w:sz w:val="20"/>
          <w:szCs w:val="20"/>
        </w:rPr>
      </w:pPr>
      <w:r w:rsidRPr="00F71E4D">
        <w:rPr>
          <w:rFonts w:ascii="Arial" w:hAnsi="Arial" w:cs="Arial"/>
          <w:sz w:val="20"/>
          <w:szCs w:val="20"/>
        </w:rPr>
        <w:t xml:space="preserve">Monika Hałupczak </w:t>
      </w:r>
      <w:r w:rsidRPr="00F71E4D">
        <w:rPr>
          <w:rFonts w:ascii="Arial" w:hAnsi="Arial" w:cs="Arial"/>
          <w:sz w:val="20"/>
          <w:szCs w:val="20"/>
        </w:rPr>
        <w:tab/>
        <w:t xml:space="preserve">– </w:t>
      </w:r>
      <w:r w:rsidR="00A91A13">
        <w:rPr>
          <w:rFonts w:ascii="Arial" w:hAnsi="Arial" w:cs="Arial"/>
          <w:sz w:val="20"/>
          <w:szCs w:val="20"/>
        </w:rPr>
        <w:t xml:space="preserve">  </w:t>
      </w:r>
      <w:r w:rsidRPr="00F71E4D">
        <w:rPr>
          <w:rFonts w:ascii="Arial" w:hAnsi="Arial" w:cs="Arial"/>
          <w:sz w:val="20"/>
          <w:szCs w:val="20"/>
        </w:rPr>
        <w:t>Członek Zarządu</w:t>
      </w:r>
    </w:p>
    <w:p w:rsidR="000700D5" w:rsidRDefault="000700D5" w:rsidP="001221B5">
      <w:pPr>
        <w:shd w:val="clear" w:color="auto" w:fill="FFFFFF"/>
        <w:spacing w:after="120" w:line="360" w:lineRule="auto"/>
        <w:jc w:val="both"/>
        <w:rPr>
          <w:rFonts w:ascii="Arial" w:hAnsi="Arial" w:cs="Arial"/>
          <w:sz w:val="20"/>
          <w:szCs w:val="20"/>
        </w:rPr>
      </w:pPr>
      <w:r>
        <w:rPr>
          <w:rFonts w:ascii="Arial" w:hAnsi="Arial" w:cs="Arial"/>
          <w:sz w:val="20"/>
          <w:szCs w:val="20"/>
        </w:rPr>
        <w:t xml:space="preserve">Nie było zmian w zarządzie Funduszu w trakcie roku 2010. </w:t>
      </w:r>
    </w:p>
    <w:p w:rsidR="00CE7EE5" w:rsidRPr="00CE7EE5" w:rsidRDefault="00CE7EE5" w:rsidP="00CE7EE5">
      <w:pPr>
        <w:spacing w:after="0" w:line="360" w:lineRule="auto"/>
        <w:jc w:val="both"/>
        <w:rPr>
          <w:rFonts w:ascii="Arial" w:hAnsi="Arial" w:cs="Arial"/>
          <w:sz w:val="20"/>
          <w:szCs w:val="20"/>
        </w:rPr>
      </w:pPr>
      <w:r w:rsidRPr="00CE7EE5">
        <w:rPr>
          <w:rFonts w:ascii="Arial" w:hAnsi="Arial" w:cs="Arial"/>
          <w:sz w:val="20"/>
          <w:szCs w:val="20"/>
        </w:rPr>
        <w:t>Po dniu bilansowym nie nastąpiły zmiany w składzie Zarządu</w:t>
      </w:r>
    </w:p>
    <w:p w:rsidR="004E343D" w:rsidRDefault="004E343D" w:rsidP="00CE7EE5">
      <w:pPr>
        <w:pStyle w:val="StylTekstpodstawowyWyjustowany"/>
        <w:spacing w:line="360" w:lineRule="auto"/>
        <w:rPr>
          <w:rFonts w:ascii="Arial" w:hAnsi="Arial" w:cs="Arial"/>
          <w:sz w:val="20"/>
          <w:szCs w:val="20"/>
        </w:rPr>
      </w:pPr>
    </w:p>
    <w:p w:rsidR="00CE7EE5" w:rsidRPr="00CE7EE5" w:rsidRDefault="00CE7EE5" w:rsidP="00CE7EE5">
      <w:pPr>
        <w:pStyle w:val="StylTekstpodstawowyWyjustowany"/>
        <w:spacing w:line="360" w:lineRule="auto"/>
        <w:rPr>
          <w:rFonts w:ascii="Arial" w:hAnsi="Arial" w:cs="Arial"/>
          <w:sz w:val="20"/>
          <w:szCs w:val="20"/>
        </w:rPr>
      </w:pPr>
      <w:r w:rsidRPr="00CE7EE5">
        <w:rPr>
          <w:rFonts w:ascii="Arial" w:hAnsi="Arial" w:cs="Arial"/>
          <w:sz w:val="20"/>
          <w:szCs w:val="20"/>
        </w:rPr>
        <w:t xml:space="preserve">Zgodnie z art.17 ust.1 Statutu Rada Nadzorcza składa się z pięciu lub większej liczby członków, powoływanych i odwoływanych przez Walne Zgromadzenie. Kadencja Rady Nadzorczej jest wspólna i trwa </w:t>
      </w:r>
      <w:r w:rsidR="000700D5">
        <w:rPr>
          <w:rFonts w:ascii="Arial" w:hAnsi="Arial" w:cs="Arial"/>
          <w:sz w:val="20"/>
          <w:szCs w:val="20"/>
        </w:rPr>
        <w:t>pięć</w:t>
      </w:r>
      <w:r w:rsidRPr="00CE7EE5">
        <w:rPr>
          <w:rFonts w:ascii="Arial" w:hAnsi="Arial" w:cs="Arial"/>
          <w:sz w:val="20"/>
          <w:szCs w:val="20"/>
        </w:rPr>
        <w:t xml:space="preserve"> lat. Skład Rady Nadzorczej na 31 grudnia 20</w:t>
      </w:r>
      <w:r w:rsidR="000700D5">
        <w:rPr>
          <w:rFonts w:ascii="Arial" w:hAnsi="Arial" w:cs="Arial"/>
          <w:sz w:val="20"/>
          <w:szCs w:val="20"/>
        </w:rPr>
        <w:t>10</w:t>
      </w:r>
      <w:r w:rsidRPr="00CE7EE5">
        <w:rPr>
          <w:rFonts w:ascii="Arial" w:hAnsi="Arial" w:cs="Arial"/>
          <w:sz w:val="20"/>
          <w:szCs w:val="20"/>
        </w:rPr>
        <w:t xml:space="preserve"> roku przedstawiał się następująco:</w:t>
      </w:r>
    </w:p>
    <w:p w:rsidR="00CE7EE5" w:rsidRPr="00CE7EE5" w:rsidRDefault="00CE7EE5" w:rsidP="00CE7EE5">
      <w:pPr>
        <w:pStyle w:val="StylTekstpodstawowyWyjustowany"/>
        <w:spacing w:line="360" w:lineRule="auto"/>
        <w:rPr>
          <w:rFonts w:ascii="Arial" w:hAnsi="Arial" w:cs="Arial"/>
          <w:sz w:val="20"/>
          <w:szCs w:val="20"/>
        </w:rPr>
      </w:pPr>
      <w:r w:rsidRPr="00CE7EE5">
        <w:rPr>
          <w:rFonts w:ascii="Arial" w:hAnsi="Arial" w:cs="Arial"/>
          <w:sz w:val="20"/>
          <w:szCs w:val="20"/>
        </w:rPr>
        <w:t xml:space="preserve">Maciej Wandzel </w:t>
      </w:r>
      <w:r w:rsidRPr="00CE7EE5">
        <w:rPr>
          <w:rFonts w:ascii="Arial" w:hAnsi="Arial" w:cs="Arial"/>
          <w:sz w:val="20"/>
          <w:szCs w:val="20"/>
        </w:rPr>
        <w:tab/>
      </w:r>
      <w:r w:rsidRPr="00CE7EE5">
        <w:rPr>
          <w:rFonts w:ascii="Arial" w:hAnsi="Arial" w:cs="Arial"/>
          <w:sz w:val="20"/>
          <w:szCs w:val="20"/>
        </w:rPr>
        <w:tab/>
        <w:t>– Przewodniczący Rady Nadzorczej</w:t>
      </w:r>
    </w:p>
    <w:p w:rsidR="00CE7EE5" w:rsidRPr="00CE7EE5" w:rsidRDefault="00CE7EE5" w:rsidP="00CE7EE5">
      <w:pPr>
        <w:pStyle w:val="StylTekstpodstawowyWyjustowany"/>
        <w:spacing w:line="360" w:lineRule="auto"/>
        <w:rPr>
          <w:rFonts w:ascii="Arial" w:hAnsi="Arial" w:cs="Arial"/>
          <w:sz w:val="20"/>
          <w:szCs w:val="20"/>
        </w:rPr>
      </w:pPr>
      <w:r w:rsidRPr="00CE7EE5">
        <w:rPr>
          <w:rFonts w:ascii="Arial" w:hAnsi="Arial" w:cs="Arial"/>
          <w:sz w:val="20"/>
          <w:szCs w:val="20"/>
        </w:rPr>
        <w:t xml:space="preserve">Maciej Zientara </w:t>
      </w:r>
      <w:r w:rsidRPr="00CE7EE5">
        <w:rPr>
          <w:rFonts w:ascii="Arial" w:hAnsi="Arial" w:cs="Arial"/>
          <w:sz w:val="20"/>
          <w:szCs w:val="20"/>
        </w:rPr>
        <w:tab/>
      </w:r>
      <w:r w:rsidRPr="00CE7EE5">
        <w:rPr>
          <w:rFonts w:ascii="Arial" w:hAnsi="Arial" w:cs="Arial"/>
          <w:sz w:val="20"/>
          <w:szCs w:val="20"/>
        </w:rPr>
        <w:tab/>
        <w:t>– Zastępca Przewodniczącego Rady Nadzorczej</w:t>
      </w:r>
    </w:p>
    <w:p w:rsidR="00CE7EE5" w:rsidRPr="00CE7EE5" w:rsidRDefault="000700D5" w:rsidP="00CE7EE5">
      <w:pPr>
        <w:pStyle w:val="StylTekstpodstawowyWyjustowany"/>
        <w:spacing w:line="360" w:lineRule="auto"/>
        <w:rPr>
          <w:rFonts w:ascii="Arial" w:hAnsi="Arial" w:cs="Arial"/>
          <w:sz w:val="20"/>
          <w:szCs w:val="20"/>
        </w:rPr>
      </w:pPr>
      <w:r>
        <w:rPr>
          <w:rFonts w:ascii="Arial" w:hAnsi="Arial" w:cs="Arial"/>
          <w:sz w:val="20"/>
          <w:szCs w:val="20"/>
        </w:rPr>
        <w:t>Piotr Surmacki</w:t>
      </w:r>
      <w:r w:rsidR="00037C56">
        <w:rPr>
          <w:rFonts w:ascii="Arial" w:hAnsi="Arial" w:cs="Arial"/>
          <w:sz w:val="20"/>
          <w:szCs w:val="20"/>
        </w:rPr>
        <w:t xml:space="preserve"> </w:t>
      </w:r>
      <w:r w:rsidR="00CE7EE5" w:rsidRPr="00CE7EE5">
        <w:rPr>
          <w:rFonts w:ascii="Arial" w:hAnsi="Arial" w:cs="Arial"/>
          <w:sz w:val="20"/>
          <w:szCs w:val="20"/>
        </w:rPr>
        <w:tab/>
      </w:r>
      <w:r w:rsidR="00CE7EE5" w:rsidRPr="00CE7EE5">
        <w:rPr>
          <w:rFonts w:ascii="Arial" w:hAnsi="Arial" w:cs="Arial"/>
          <w:sz w:val="20"/>
          <w:szCs w:val="20"/>
        </w:rPr>
        <w:tab/>
      </w:r>
      <w:r>
        <w:rPr>
          <w:rFonts w:ascii="Arial" w:hAnsi="Arial" w:cs="Arial"/>
          <w:sz w:val="20"/>
          <w:szCs w:val="20"/>
        </w:rPr>
        <w:tab/>
      </w:r>
      <w:r w:rsidR="00CE7EE5" w:rsidRPr="00CE7EE5">
        <w:rPr>
          <w:rFonts w:ascii="Arial" w:hAnsi="Arial" w:cs="Arial"/>
          <w:sz w:val="20"/>
          <w:szCs w:val="20"/>
        </w:rPr>
        <w:t>– Członek Rady Nadzorczej</w:t>
      </w:r>
    </w:p>
    <w:p w:rsidR="00CE7EE5" w:rsidRPr="00CE7EE5" w:rsidRDefault="000700D5" w:rsidP="00CE7EE5">
      <w:pPr>
        <w:pStyle w:val="StylTekstpodstawowyWyjustowany"/>
        <w:spacing w:line="360" w:lineRule="auto"/>
        <w:rPr>
          <w:rFonts w:ascii="Arial" w:hAnsi="Arial" w:cs="Arial"/>
          <w:sz w:val="20"/>
          <w:szCs w:val="20"/>
        </w:rPr>
      </w:pPr>
      <w:r>
        <w:rPr>
          <w:rFonts w:ascii="Arial" w:hAnsi="Arial" w:cs="Arial"/>
          <w:sz w:val="20"/>
          <w:szCs w:val="20"/>
        </w:rPr>
        <w:t>Bogusław Leśnodorski</w:t>
      </w:r>
      <w:r w:rsidR="00CE7EE5" w:rsidRPr="00CE7EE5">
        <w:rPr>
          <w:rFonts w:ascii="Arial" w:hAnsi="Arial" w:cs="Arial"/>
          <w:sz w:val="20"/>
          <w:szCs w:val="20"/>
        </w:rPr>
        <w:tab/>
      </w:r>
      <w:r w:rsidR="00CE7EE5" w:rsidRPr="00CE7EE5">
        <w:rPr>
          <w:rFonts w:ascii="Arial" w:hAnsi="Arial" w:cs="Arial"/>
          <w:sz w:val="20"/>
          <w:szCs w:val="20"/>
        </w:rPr>
        <w:tab/>
        <w:t>– Członek Rady Nadzorczej</w:t>
      </w:r>
    </w:p>
    <w:p w:rsidR="00CE7EE5" w:rsidRPr="00CE7EE5" w:rsidRDefault="000700D5" w:rsidP="00CE7EE5">
      <w:pPr>
        <w:pStyle w:val="StylTekstpodstawowyWyjustowany"/>
        <w:spacing w:line="360" w:lineRule="auto"/>
        <w:rPr>
          <w:rFonts w:ascii="Arial" w:hAnsi="Arial" w:cs="Arial"/>
          <w:sz w:val="20"/>
          <w:szCs w:val="20"/>
        </w:rPr>
      </w:pPr>
      <w:r>
        <w:rPr>
          <w:rFonts w:ascii="Arial" w:hAnsi="Arial" w:cs="Arial"/>
          <w:sz w:val="20"/>
          <w:szCs w:val="20"/>
        </w:rPr>
        <w:t>Piotr Janczewski</w:t>
      </w:r>
      <w:r w:rsidR="00CE7EE5" w:rsidRPr="00CE7EE5">
        <w:rPr>
          <w:rFonts w:ascii="Arial" w:hAnsi="Arial" w:cs="Arial"/>
          <w:sz w:val="20"/>
          <w:szCs w:val="20"/>
        </w:rPr>
        <w:tab/>
      </w:r>
      <w:r w:rsidR="00CE7EE5" w:rsidRPr="00CE7EE5">
        <w:rPr>
          <w:rFonts w:ascii="Arial" w:hAnsi="Arial" w:cs="Arial"/>
          <w:sz w:val="20"/>
          <w:szCs w:val="20"/>
        </w:rPr>
        <w:tab/>
        <w:t>– Członek Rady Nadzorczej</w:t>
      </w:r>
    </w:p>
    <w:p w:rsidR="00E13A3F" w:rsidRDefault="00E13A3F" w:rsidP="00CE7EE5">
      <w:pPr>
        <w:pStyle w:val="StylTekstpodstawowyWyjustowany"/>
        <w:spacing w:line="360" w:lineRule="auto"/>
        <w:rPr>
          <w:rFonts w:ascii="Arial" w:hAnsi="Arial" w:cs="Arial"/>
          <w:sz w:val="20"/>
          <w:szCs w:val="20"/>
        </w:rPr>
      </w:pPr>
      <w:r>
        <w:rPr>
          <w:rFonts w:ascii="Arial" w:hAnsi="Arial" w:cs="Arial"/>
          <w:sz w:val="20"/>
          <w:szCs w:val="20"/>
        </w:rPr>
        <w:t>Na dzień 31 grudnia 200</w:t>
      </w:r>
      <w:r w:rsidR="00037C56">
        <w:rPr>
          <w:rFonts w:ascii="Arial" w:hAnsi="Arial" w:cs="Arial"/>
          <w:sz w:val="20"/>
          <w:szCs w:val="20"/>
        </w:rPr>
        <w:t>9</w:t>
      </w:r>
      <w:r>
        <w:rPr>
          <w:rFonts w:ascii="Arial" w:hAnsi="Arial" w:cs="Arial"/>
          <w:sz w:val="20"/>
          <w:szCs w:val="20"/>
        </w:rPr>
        <w:t xml:space="preserve"> r. skład Rady Nadzorczej Funduszu przedstawiał się następująco:</w:t>
      </w:r>
    </w:p>
    <w:p w:rsidR="00037C56" w:rsidRPr="00CE7EE5" w:rsidRDefault="00037C56" w:rsidP="00037C56">
      <w:pPr>
        <w:pStyle w:val="StylTekstpodstawowyWyjustowany"/>
        <w:spacing w:line="360" w:lineRule="auto"/>
        <w:rPr>
          <w:rFonts w:ascii="Arial" w:hAnsi="Arial" w:cs="Arial"/>
          <w:sz w:val="20"/>
          <w:szCs w:val="20"/>
        </w:rPr>
      </w:pPr>
      <w:r w:rsidRPr="00CE7EE5">
        <w:rPr>
          <w:rFonts w:ascii="Arial" w:hAnsi="Arial" w:cs="Arial"/>
          <w:sz w:val="20"/>
          <w:szCs w:val="20"/>
        </w:rPr>
        <w:t xml:space="preserve">Maciej Wandzel </w:t>
      </w:r>
      <w:r w:rsidRPr="00CE7EE5">
        <w:rPr>
          <w:rFonts w:ascii="Arial" w:hAnsi="Arial" w:cs="Arial"/>
          <w:sz w:val="20"/>
          <w:szCs w:val="20"/>
        </w:rPr>
        <w:tab/>
      </w:r>
      <w:r w:rsidRPr="00CE7EE5">
        <w:rPr>
          <w:rFonts w:ascii="Arial" w:hAnsi="Arial" w:cs="Arial"/>
          <w:sz w:val="20"/>
          <w:szCs w:val="20"/>
        </w:rPr>
        <w:tab/>
        <w:t>– Przewodniczący Rady Nadzorczej</w:t>
      </w:r>
    </w:p>
    <w:p w:rsidR="00037C56" w:rsidRPr="00CE7EE5" w:rsidRDefault="00037C56" w:rsidP="00037C56">
      <w:pPr>
        <w:pStyle w:val="StylTekstpodstawowyWyjustowany"/>
        <w:spacing w:line="360" w:lineRule="auto"/>
        <w:rPr>
          <w:rFonts w:ascii="Arial" w:hAnsi="Arial" w:cs="Arial"/>
          <w:sz w:val="20"/>
          <w:szCs w:val="20"/>
        </w:rPr>
      </w:pPr>
      <w:r w:rsidRPr="00CE7EE5">
        <w:rPr>
          <w:rFonts w:ascii="Arial" w:hAnsi="Arial" w:cs="Arial"/>
          <w:sz w:val="20"/>
          <w:szCs w:val="20"/>
        </w:rPr>
        <w:t xml:space="preserve">Maciej Zientara </w:t>
      </w:r>
      <w:r w:rsidRPr="00CE7EE5">
        <w:rPr>
          <w:rFonts w:ascii="Arial" w:hAnsi="Arial" w:cs="Arial"/>
          <w:sz w:val="20"/>
          <w:szCs w:val="20"/>
        </w:rPr>
        <w:tab/>
      </w:r>
      <w:r w:rsidRPr="00CE7EE5">
        <w:rPr>
          <w:rFonts w:ascii="Arial" w:hAnsi="Arial" w:cs="Arial"/>
          <w:sz w:val="20"/>
          <w:szCs w:val="20"/>
        </w:rPr>
        <w:tab/>
        <w:t>– Zastępca Przewodniczącego Rady Nadzorczej</w:t>
      </w:r>
    </w:p>
    <w:p w:rsidR="00037C56" w:rsidRPr="00CE7EE5" w:rsidRDefault="00037C56" w:rsidP="00037C56">
      <w:pPr>
        <w:pStyle w:val="StylTekstpodstawowyWyjustowany"/>
        <w:spacing w:line="360" w:lineRule="auto"/>
        <w:rPr>
          <w:rFonts w:ascii="Arial" w:hAnsi="Arial" w:cs="Arial"/>
          <w:sz w:val="20"/>
          <w:szCs w:val="20"/>
        </w:rPr>
      </w:pPr>
      <w:r w:rsidRPr="00CE7EE5">
        <w:rPr>
          <w:rFonts w:ascii="Arial" w:hAnsi="Arial" w:cs="Arial"/>
          <w:sz w:val="20"/>
          <w:szCs w:val="20"/>
        </w:rPr>
        <w:t>Dominika Słomińska</w:t>
      </w:r>
      <w:r w:rsidRPr="00CE7EE5">
        <w:rPr>
          <w:rFonts w:ascii="Arial" w:hAnsi="Arial" w:cs="Arial"/>
          <w:sz w:val="20"/>
          <w:szCs w:val="20"/>
        </w:rPr>
        <w:tab/>
      </w:r>
      <w:r w:rsidRPr="00CE7EE5">
        <w:rPr>
          <w:rFonts w:ascii="Arial" w:hAnsi="Arial" w:cs="Arial"/>
          <w:sz w:val="20"/>
          <w:szCs w:val="20"/>
        </w:rPr>
        <w:tab/>
        <w:t>– Członek Rady Nadzorczej</w:t>
      </w:r>
    </w:p>
    <w:p w:rsidR="00037C56" w:rsidRPr="00CE7EE5" w:rsidRDefault="00037C56" w:rsidP="00037C56">
      <w:pPr>
        <w:pStyle w:val="StylTekstpodstawowyWyjustowany"/>
        <w:spacing w:line="360" w:lineRule="auto"/>
        <w:rPr>
          <w:rFonts w:ascii="Arial" w:hAnsi="Arial" w:cs="Arial"/>
          <w:sz w:val="20"/>
          <w:szCs w:val="20"/>
        </w:rPr>
      </w:pPr>
      <w:r w:rsidRPr="00CE7EE5">
        <w:rPr>
          <w:rFonts w:ascii="Arial" w:hAnsi="Arial" w:cs="Arial"/>
          <w:sz w:val="20"/>
          <w:szCs w:val="20"/>
        </w:rPr>
        <w:t>Maciej Pietras</w:t>
      </w:r>
      <w:r w:rsidRPr="00CE7EE5">
        <w:rPr>
          <w:rFonts w:ascii="Arial" w:hAnsi="Arial" w:cs="Arial"/>
          <w:sz w:val="20"/>
          <w:szCs w:val="20"/>
        </w:rPr>
        <w:tab/>
      </w:r>
      <w:r w:rsidRPr="00CE7EE5">
        <w:rPr>
          <w:rFonts w:ascii="Arial" w:hAnsi="Arial" w:cs="Arial"/>
          <w:sz w:val="20"/>
          <w:szCs w:val="20"/>
        </w:rPr>
        <w:tab/>
      </w:r>
      <w:r w:rsidRPr="00CE7EE5">
        <w:rPr>
          <w:rFonts w:ascii="Arial" w:hAnsi="Arial" w:cs="Arial"/>
          <w:sz w:val="20"/>
          <w:szCs w:val="20"/>
        </w:rPr>
        <w:tab/>
        <w:t>– Członek Rady Nadzorczej</w:t>
      </w:r>
    </w:p>
    <w:p w:rsidR="00037C56" w:rsidRPr="00CE7EE5" w:rsidRDefault="00037C56" w:rsidP="00037C56">
      <w:pPr>
        <w:pStyle w:val="StylTekstpodstawowyWyjustowany"/>
        <w:spacing w:line="360" w:lineRule="auto"/>
        <w:rPr>
          <w:rFonts w:ascii="Arial" w:hAnsi="Arial" w:cs="Arial"/>
          <w:sz w:val="20"/>
          <w:szCs w:val="20"/>
        </w:rPr>
      </w:pPr>
      <w:r w:rsidRPr="00CE7EE5">
        <w:rPr>
          <w:rFonts w:ascii="Arial" w:hAnsi="Arial" w:cs="Arial"/>
          <w:sz w:val="20"/>
          <w:szCs w:val="20"/>
        </w:rPr>
        <w:t>Andrzeja Rzońca</w:t>
      </w:r>
      <w:r w:rsidRPr="00CE7EE5">
        <w:rPr>
          <w:rFonts w:ascii="Arial" w:hAnsi="Arial" w:cs="Arial"/>
          <w:sz w:val="20"/>
          <w:szCs w:val="20"/>
        </w:rPr>
        <w:tab/>
      </w:r>
      <w:r w:rsidRPr="00CE7EE5">
        <w:rPr>
          <w:rFonts w:ascii="Arial" w:hAnsi="Arial" w:cs="Arial"/>
          <w:sz w:val="20"/>
          <w:szCs w:val="20"/>
        </w:rPr>
        <w:tab/>
        <w:t>– Członek Rady Nadzorczej</w:t>
      </w:r>
    </w:p>
    <w:p w:rsidR="00037C56" w:rsidRPr="00CE7EE5" w:rsidRDefault="00037C56" w:rsidP="00037C56">
      <w:pPr>
        <w:pStyle w:val="StylTekstpodstawowyWyjustowany"/>
        <w:spacing w:line="360" w:lineRule="auto"/>
        <w:rPr>
          <w:rFonts w:ascii="Arial" w:hAnsi="Arial" w:cs="Arial"/>
          <w:sz w:val="20"/>
          <w:szCs w:val="20"/>
        </w:rPr>
      </w:pPr>
      <w:r w:rsidRPr="00CE7EE5">
        <w:rPr>
          <w:rFonts w:ascii="Arial" w:hAnsi="Arial" w:cs="Arial"/>
          <w:sz w:val="20"/>
          <w:szCs w:val="20"/>
        </w:rPr>
        <w:t>W dniu 17 lutego 20</w:t>
      </w:r>
      <w:r>
        <w:rPr>
          <w:rFonts w:ascii="Arial" w:hAnsi="Arial" w:cs="Arial"/>
          <w:sz w:val="20"/>
          <w:szCs w:val="20"/>
        </w:rPr>
        <w:t>10</w:t>
      </w:r>
      <w:r w:rsidRPr="00CE7EE5">
        <w:rPr>
          <w:rFonts w:ascii="Arial" w:hAnsi="Arial" w:cs="Arial"/>
          <w:sz w:val="20"/>
          <w:szCs w:val="20"/>
        </w:rPr>
        <w:t xml:space="preserve"> roku Nadzwyczajne Walne Zgromadzenie Akcjonariuszy odwołało z pełnienia funkcji członka Rady Nadzorczej panią Dominikę Słomińską oraz pana Macieja Pietrasa, powołując na nowych członków Rady Nadzorczej panów Piotra Surmackiego, Michała Kobusa oraz Bogusława Leśnodorskiego.</w:t>
      </w:r>
    </w:p>
    <w:p w:rsidR="00037C56" w:rsidRDefault="00037C56" w:rsidP="00CE7EE5">
      <w:pPr>
        <w:pStyle w:val="StylTekstpodstawowyWyjustowany"/>
        <w:spacing w:line="360" w:lineRule="auto"/>
        <w:rPr>
          <w:rFonts w:ascii="Arial" w:hAnsi="Arial" w:cs="Arial"/>
          <w:sz w:val="20"/>
          <w:szCs w:val="20"/>
        </w:rPr>
      </w:pPr>
      <w:r>
        <w:rPr>
          <w:rFonts w:ascii="Arial" w:hAnsi="Arial" w:cs="Arial"/>
          <w:sz w:val="20"/>
          <w:szCs w:val="20"/>
        </w:rPr>
        <w:t xml:space="preserve">W dniu 20 grudnia 2010 r. rezygnację z funkcji w Radzie Nadzorczej złożył </w:t>
      </w:r>
      <w:r w:rsidR="00467EE1">
        <w:rPr>
          <w:rFonts w:ascii="Arial" w:hAnsi="Arial" w:cs="Arial"/>
          <w:sz w:val="20"/>
          <w:szCs w:val="20"/>
        </w:rPr>
        <w:t>Pan Michał Kobus. W jego miejsce Rada Nadzorcza powołała w drodze kooptacji Pana Piotra Janczewskiego.</w:t>
      </w:r>
    </w:p>
    <w:p w:rsidR="004E343D" w:rsidRDefault="004E343D" w:rsidP="00CE7EE5">
      <w:pPr>
        <w:pStyle w:val="StylTekstpodstawowyWyjustowany"/>
        <w:spacing w:line="360" w:lineRule="auto"/>
        <w:rPr>
          <w:rFonts w:ascii="Arial" w:hAnsi="Arial" w:cs="Arial"/>
          <w:sz w:val="20"/>
          <w:szCs w:val="20"/>
        </w:rPr>
      </w:pPr>
    </w:p>
    <w:p w:rsidR="004E343D" w:rsidRDefault="004E343D" w:rsidP="00CE7EE5">
      <w:pPr>
        <w:pStyle w:val="StylTekstpodstawowyWyjustowany"/>
        <w:spacing w:line="360" w:lineRule="auto"/>
        <w:rPr>
          <w:rFonts w:ascii="Arial" w:hAnsi="Arial" w:cs="Arial"/>
          <w:sz w:val="20"/>
          <w:szCs w:val="20"/>
        </w:rPr>
      </w:pPr>
    </w:p>
    <w:p w:rsidR="004E343D" w:rsidRDefault="004E343D" w:rsidP="00CE7EE5">
      <w:pPr>
        <w:pStyle w:val="StylTekstpodstawowyWyjustowany"/>
        <w:spacing w:line="360" w:lineRule="auto"/>
        <w:rPr>
          <w:rFonts w:ascii="Arial" w:hAnsi="Arial" w:cs="Arial"/>
          <w:sz w:val="20"/>
          <w:szCs w:val="20"/>
        </w:rPr>
      </w:pPr>
    </w:p>
    <w:p w:rsidR="00CE7EE5" w:rsidRPr="00CE7EE5" w:rsidRDefault="00CE7EE5" w:rsidP="00CE7EE5">
      <w:pPr>
        <w:pStyle w:val="StylTekstpodstawowyWyjustowany"/>
        <w:spacing w:line="360" w:lineRule="auto"/>
        <w:rPr>
          <w:rFonts w:ascii="Arial" w:hAnsi="Arial" w:cs="Arial"/>
          <w:sz w:val="20"/>
          <w:szCs w:val="20"/>
        </w:rPr>
      </w:pPr>
      <w:r w:rsidRPr="00CE7EE5">
        <w:rPr>
          <w:rFonts w:ascii="Arial" w:hAnsi="Arial" w:cs="Arial"/>
          <w:sz w:val="20"/>
          <w:szCs w:val="20"/>
        </w:rPr>
        <w:t>Zmiany w Radzie Nadzorczej Funduszu po dacie bilansowej:</w:t>
      </w:r>
    </w:p>
    <w:p w:rsidR="00467EE1" w:rsidRDefault="00467EE1" w:rsidP="00CE7EE5">
      <w:pPr>
        <w:pStyle w:val="StylTekstpodstawowyWyjustowany"/>
        <w:spacing w:line="360" w:lineRule="auto"/>
        <w:rPr>
          <w:rFonts w:ascii="Arial" w:hAnsi="Arial" w:cs="Arial"/>
          <w:sz w:val="20"/>
          <w:szCs w:val="20"/>
        </w:rPr>
      </w:pPr>
      <w:r>
        <w:rPr>
          <w:rFonts w:ascii="Arial" w:hAnsi="Arial" w:cs="Arial"/>
          <w:sz w:val="20"/>
          <w:szCs w:val="20"/>
        </w:rPr>
        <w:t xml:space="preserve">W dniu 1 lutego 2011 r. Walne Zgromadzenie odwołało z funkcji w Radzie Nadzorczej Pana Piotra Surmackiego oraz powołało Pana Mariusza Pawlaka oraz Pana Michała Kobusa. Jednocześnie Walne Zgromadzenie zatwierdziło wybór Pana Piotra </w:t>
      </w:r>
      <w:r w:rsidR="0028199F">
        <w:rPr>
          <w:rFonts w:ascii="Arial" w:hAnsi="Arial" w:cs="Arial"/>
          <w:sz w:val="20"/>
          <w:szCs w:val="20"/>
        </w:rPr>
        <w:t>Janczewskiego.</w:t>
      </w:r>
    </w:p>
    <w:p w:rsidR="00CE7EE5" w:rsidRPr="00CE7EE5" w:rsidRDefault="00CE7EE5" w:rsidP="00CE7EE5">
      <w:pPr>
        <w:pStyle w:val="StylTekstpodstawowyWyjustowany"/>
        <w:spacing w:line="360" w:lineRule="auto"/>
        <w:rPr>
          <w:rFonts w:ascii="Arial" w:hAnsi="Arial" w:cs="Arial"/>
          <w:sz w:val="20"/>
          <w:szCs w:val="20"/>
        </w:rPr>
      </w:pPr>
      <w:r w:rsidRPr="00CE7EE5">
        <w:rPr>
          <w:rFonts w:ascii="Arial" w:hAnsi="Arial" w:cs="Arial"/>
          <w:sz w:val="20"/>
          <w:szCs w:val="20"/>
        </w:rPr>
        <w:t>Skład Rady Nadzorczej po przeprowadzonych zmianach wygląda następująco:</w:t>
      </w:r>
    </w:p>
    <w:p w:rsidR="00CE7EE5" w:rsidRPr="00CE7EE5" w:rsidRDefault="00CE7EE5" w:rsidP="00CE7EE5">
      <w:pPr>
        <w:pStyle w:val="StylTekstpodstawowyWyjustowany"/>
        <w:spacing w:line="360" w:lineRule="auto"/>
        <w:rPr>
          <w:rFonts w:ascii="Arial" w:hAnsi="Arial" w:cs="Arial"/>
          <w:sz w:val="20"/>
          <w:szCs w:val="20"/>
        </w:rPr>
      </w:pPr>
      <w:r w:rsidRPr="00CE7EE5">
        <w:rPr>
          <w:rFonts w:ascii="Arial" w:hAnsi="Arial" w:cs="Arial"/>
          <w:sz w:val="20"/>
          <w:szCs w:val="20"/>
        </w:rPr>
        <w:t xml:space="preserve">Maciej Wandzel </w:t>
      </w:r>
      <w:r w:rsidRPr="00CE7EE5">
        <w:rPr>
          <w:rFonts w:ascii="Arial" w:hAnsi="Arial" w:cs="Arial"/>
          <w:sz w:val="20"/>
          <w:szCs w:val="20"/>
        </w:rPr>
        <w:tab/>
      </w:r>
      <w:r w:rsidRPr="00CE7EE5">
        <w:rPr>
          <w:rFonts w:ascii="Arial" w:hAnsi="Arial" w:cs="Arial"/>
          <w:sz w:val="20"/>
          <w:szCs w:val="20"/>
        </w:rPr>
        <w:tab/>
        <w:t>– Przewodniczący Rady Nadzorczej</w:t>
      </w:r>
    </w:p>
    <w:p w:rsidR="00CE7EE5" w:rsidRPr="00CE7EE5" w:rsidRDefault="00CE7EE5" w:rsidP="00CE7EE5">
      <w:pPr>
        <w:pStyle w:val="StylTekstpodstawowyWyjustowany"/>
        <w:spacing w:line="360" w:lineRule="auto"/>
        <w:rPr>
          <w:rFonts w:ascii="Arial" w:hAnsi="Arial" w:cs="Arial"/>
          <w:sz w:val="20"/>
          <w:szCs w:val="20"/>
        </w:rPr>
      </w:pPr>
      <w:r w:rsidRPr="00CE7EE5">
        <w:rPr>
          <w:rFonts w:ascii="Arial" w:hAnsi="Arial" w:cs="Arial"/>
          <w:sz w:val="20"/>
          <w:szCs w:val="20"/>
        </w:rPr>
        <w:t xml:space="preserve">Maciej Zientara </w:t>
      </w:r>
      <w:r w:rsidRPr="00CE7EE5">
        <w:rPr>
          <w:rFonts w:ascii="Arial" w:hAnsi="Arial" w:cs="Arial"/>
          <w:sz w:val="20"/>
          <w:szCs w:val="20"/>
        </w:rPr>
        <w:tab/>
      </w:r>
      <w:r w:rsidRPr="00CE7EE5">
        <w:rPr>
          <w:rFonts w:ascii="Arial" w:hAnsi="Arial" w:cs="Arial"/>
          <w:sz w:val="20"/>
          <w:szCs w:val="20"/>
        </w:rPr>
        <w:tab/>
        <w:t>– Zastępca Przewodniczącego Rady Nadzorczej</w:t>
      </w:r>
    </w:p>
    <w:p w:rsidR="00CE7EE5" w:rsidRPr="00CE7EE5" w:rsidRDefault="00CE7EE5" w:rsidP="00CE7EE5">
      <w:pPr>
        <w:pStyle w:val="StylTekstpodstawowyWyjustowany"/>
        <w:spacing w:line="360" w:lineRule="auto"/>
        <w:rPr>
          <w:rFonts w:ascii="Arial" w:hAnsi="Arial" w:cs="Arial"/>
          <w:sz w:val="20"/>
          <w:szCs w:val="20"/>
        </w:rPr>
      </w:pPr>
      <w:r w:rsidRPr="00CE7EE5">
        <w:rPr>
          <w:rFonts w:ascii="Arial" w:hAnsi="Arial" w:cs="Arial"/>
          <w:sz w:val="20"/>
          <w:szCs w:val="20"/>
        </w:rPr>
        <w:t>Piotr</w:t>
      </w:r>
      <w:r w:rsidR="00467EE1">
        <w:rPr>
          <w:rFonts w:ascii="Arial" w:hAnsi="Arial" w:cs="Arial"/>
          <w:sz w:val="20"/>
          <w:szCs w:val="20"/>
        </w:rPr>
        <w:t xml:space="preserve"> Janczewski</w:t>
      </w:r>
      <w:r w:rsidRPr="00CE7EE5">
        <w:rPr>
          <w:rFonts w:ascii="Arial" w:hAnsi="Arial" w:cs="Arial"/>
          <w:sz w:val="20"/>
          <w:szCs w:val="20"/>
        </w:rPr>
        <w:tab/>
      </w:r>
      <w:r w:rsidR="00FD2396">
        <w:rPr>
          <w:rFonts w:ascii="Arial" w:hAnsi="Arial" w:cs="Arial"/>
          <w:sz w:val="20"/>
          <w:szCs w:val="20"/>
        </w:rPr>
        <w:tab/>
      </w:r>
      <w:r w:rsidRPr="00CE7EE5">
        <w:rPr>
          <w:rFonts w:ascii="Arial" w:hAnsi="Arial" w:cs="Arial"/>
          <w:sz w:val="20"/>
          <w:szCs w:val="20"/>
        </w:rPr>
        <w:t>– Członek Rady Nadzorczej</w:t>
      </w:r>
    </w:p>
    <w:p w:rsidR="00CE7EE5" w:rsidRPr="00CE7EE5" w:rsidRDefault="00CE7EE5" w:rsidP="00CE7EE5">
      <w:pPr>
        <w:pStyle w:val="StylTekstpodstawowyWyjustowany"/>
        <w:spacing w:line="360" w:lineRule="auto"/>
        <w:rPr>
          <w:rFonts w:ascii="Arial" w:hAnsi="Arial" w:cs="Arial"/>
          <w:sz w:val="20"/>
          <w:szCs w:val="20"/>
        </w:rPr>
      </w:pPr>
      <w:r w:rsidRPr="00CE7EE5">
        <w:rPr>
          <w:rFonts w:ascii="Arial" w:hAnsi="Arial" w:cs="Arial"/>
          <w:sz w:val="20"/>
          <w:szCs w:val="20"/>
        </w:rPr>
        <w:t>Michał Kobus</w:t>
      </w:r>
      <w:r w:rsidRPr="00CE7EE5">
        <w:rPr>
          <w:rFonts w:ascii="Arial" w:hAnsi="Arial" w:cs="Arial"/>
          <w:sz w:val="20"/>
          <w:szCs w:val="20"/>
        </w:rPr>
        <w:tab/>
      </w:r>
      <w:r w:rsidRPr="00CE7EE5">
        <w:rPr>
          <w:rFonts w:ascii="Arial" w:hAnsi="Arial" w:cs="Arial"/>
          <w:sz w:val="20"/>
          <w:szCs w:val="20"/>
        </w:rPr>
        <w:tab/>
      </w:r>
      <w:r w:rsidRPr="00CE7EE5">
        <w:rPr>
          <w:rFonts w:ascii="Arial" w:hAnsi="Arial" w:cs="Arial"/>
          <w:sz w:val="20"/>
          <w:szCs w:val="20"/>
        </w:rPr>
        <w:tab/>
        <w:t>– Członek Rady Nadzorczej</w:t>
      </w:r>
    </w:p>
    <w:p w:rsidR="00CE7EE5" w:rsidRDefault="00CE7EE5" w:rsidP="00CE7EE5">
      <w:pPr>
        <w:pStyle w:val="StylTekstpodstawowyWyjustowany"/>
        <w:spacing w:line="360" w:lineRule="auto"/>
        <w:rPr>
          <w:rFonts w:ascii="Arial" w:hAnsi="Arial" w:cs="Arial"/>
          <w:sz w:val="20"/>
          <w:szCs w:val="20"/>
        </w:rPr>
      </w:pPr>
      <w:r w:rsidRPr="00CE7EE5">
        <w:rPr>
          <w:rFonts w:ascii="Arial" w:hAnsi="Arial" w:cs="Arial"/>
          <w:sz w:val="20"/>
          <w:szCs w:val="20"/>
        </w:rPr>
        <w:t>Bogusław Leśnodorski</w:t>
      </w:r>
      <w:r w:rsidRPr="00CE7EE5">
        <w:rPr>
          <w:rFonts w:ascii="Arial" w:hAnsi="Arial" w:cs="Arial"/>
          <w:sz w:val="20"/>
          <w:szCs w:val="20"/>
        </w:rPr>
        <w:tab/>
      </w:r>
      <w:r w:rsidR="00FD2396">
        <w:rPr>
          <w:rFonts w:ascii="Arial" w:hAnsi="Arial" w:cs="Arial"/>
          <w:sz w:val="20"/>
          <w:szCs w:val="20"/>
        </w:rPr>
        <w:tab/>
      </w:r>
      <w:r w:rsidRPr="00CE7EE5">
        <w:rPr>
          <w:rFonts w:ascii="Arial" w:hAnsi="Arial" w:cs="Arial"/>
          <w:sz w:val="20"/>
          <w:szCs w:val="20"/>
        </w:rPr>
        <w:t>– Członek Rady Nadzorczej</w:t>
      </w:r>
    </w:p>
    <w:p w:rsidR="00467EE1" w:rsidRDefault="00467EE1" w:rsidP="00CE7EE5">
      <w:pPr>
        <w:pStyle w:val="StylTekstpodstawowyWyjustowany"/>
        <w:spacing w:line="360" w:lineRule="auto"/>
        <w:rPr>
          <w:rFonts w:ascii="Arial" w:hAnsi="Arial" w:cs="Arial"/>
          <w:sz w:val="20"/>
          <w:szCs w:val="20"/>
        </w:rPr>
      </w:pPr>
      <w:r>
        <w:rPr>
          <w:rFonts w:ascii="Arial" w:hAnsi="Arial" w:cs="Arial"/>
          <w:sz w:val="20"/>
          <w:szCs w:val="20"/>
        </w:rPr>
        <w:t>Mariusz Pawlak</w:t>
      </w:r>
      <w:r w:rsidR="0028199F">
        <w:rPr>
          <w:rFonts w:ascii="Arial" w:hAnsi="Arial" w:cs="Arial"/>
          <w:sz w:val="20"/>
          <w:szCs w:val="20"/>
        </w:rPr>
        <w:tab/>
      </w:r>
      <w:r w:rsidR="0028199F">
        <w:rPr>
          <w:rFonts w:ascii="Arial" w:hAnsi="Arial" w:cs="Arial"/>
          <w:sz w:val="20"/>
          <w:szCs w:val="20"/>
        </w:rPr>
        <w:tab/>
      </w:r>
      <w:r w:rsidR="0028199F">
        <w:rPr>
          <w:rFonts w:ascii="Arial" w:hAnsi="Arial" w:cs="Arial"/>
          <w:sz w:val="20"/>
          <w:szCs w:val="20"/>
        </w:rPr>
        <w:tab/>
      </w:r>
      <w:r w:rsidR="004E343D" w:rsidRPr="00CE7EE5">
        <w:rPr>
          <w:rFonts w:ascii="Arial" w:hAnsi="Arial" w:cs="Arial"/>
          <w:sz w:val="20"/>
          <w:szCs w:val="20"/>
        </w:rPr>
        <w:t>–</w:t>
      </w:r>
      <w:r w:rsidR="0028199F">
        <w:rPr>
          <w:rFonts w:ascii="Arial" w:hAnsi="Arial" w:cs="Arial"/>
          <w:sz w:val="20"/>
          <w:szCs w:val="20"/>
        </w:rPr>
        <w:t xml:space="preserve"> Członek Rady Nadzorczej</w:t>
      </w:r>
    </w:p>
    <w:p w:rsidR="00F71E4D" w:rsidRPr="00F71E4D" w:rsidRDefault="00467EE1" w:rsidP="00F71E4D">
      <w:pPr>
        <w:pStyle w:val="StylTekstpodstawowyWyjustowany"/>
        <w:spacing w:line="360" w:lineRule="auto"/>
        <w:rPr>
          <w:rFonts w:ascii="Arial" w:hAnsi="Arial" w:cs="Arial"/>
          <w:sz w:val="20"/>
          <w:szCs w:val="20"/>
        </w:rPr>
      </w:pPr>
      <w:r>
        <w:rPr>
          <w:rFonts w:ascii="Arial" w:hAnsi="Arial" w:cs="Arial"/>
          <w:sz w:val="20"/>
          <w:szCs w:val="20"/>
        </w:rPr>
        <w:t>F</w:t>
      </w:r>
      <w:r w:rsidR="00F71E4D">
        <w:rPr>
          <w:rFonts w:ascii="Arial" w:hAnsi="Arial" w:cs="Arial"/>
          <w:sz w:val="20"/>
          <w:szCs w:val="20"/>
        </w:rPr>
        <w:t xml:space="preserve">unkcję komitetu audytu </w:t>
      </w:r>
      <w:r>
        <w:rPr>
          <w:rFonts w:ascii="Arial" w:hAnsi="Arial" w:cs="Arial"/>
          <w:sz w:val="20"/>
          <w:szCs w:val="20"/>
        </w:rPr>
        <w:t xml:space="preserve">w roku 2010 </w:t>
      </w:r>
      <w:r w:rsidR="00F71E4D">
        <w:rPr>
          <w:rFonts w:ascii="Arial" w:hAnsi="Arial" w:cs="Arial"/>
          <w:sz w:val="20"/>
          <w:szCs w:val="20"/>
        </w:rPr>
        <w:t xml:space="preserve">Rada Nadzorcza </w:t>
      </w:r>
      <w:r>
        <w:rPr>
          <w:rFonts w:ascii="Arial" w:hAnsi="Arial" w:cs="Arial"/>
          <w:sz w:val="20"/>
          <w:szCs w:val="20"/>
        </w:rPr>
        <w:t xml:space="preserve">sprawowała </w:t>
      </w:r>
      <w:r w:rsidR="00F71E4D">
        <w:rPr>
          <w:rFonts w:ascii="Arial" w:hAnsi="Arial" w:cs="Arial"/>
          <w:sz w:val="20"/>
          <w:szCs w:val="20"/>
        </w:rPr>
        <w:t>w całości.</w:t>
      </w:r>
    </w:p>
    <w:sectPr w:rsidR="00F71E4D" w:rsidRPr="00F71E4D" w:rsidSect="00CA6ADD">
      <w:headerReference w:type="default" r:id="rId8"/>
      <w:footerReference w:type="default" r:id="rId9"/>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EC3" w:rsidRDefault="000D2EC3" w:rsidP="00CA6ADD">
      <w:pPr>
        <w:spacing w:after="0" w:line="240" w:lineRule="auto"/>
      </w:pPr>
      <w:r>
        <w:separator/>
      </w:r>
    </w:p>
  </w:endnote>
  <w:endnote w:type="continuationSeparator" w:id="0">
    <w:p w:rsidR="000D2EC3" w:rsidRDefault="000D2EC3" w:rsidP="00CA6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E0002AFF" w:usb1="C0007843" w:usb2="00000009" w:usb3="00000000" w:csb0="000001FF" w:csb1="00000000"/>
  </w:font>
  <w:font w:name="Tms Rmn PL">
    <w:altName w:val="Courier New"/>
    <w:charset w:val="00"/>
    <w:family w:val="roman"/>
    <w:pitch w:val="variable"/>
    <w:sig w:usb0="00000007" w:usb1="00000000" w:usb2="00000000" w:usb3="00000000" w:csb0="00000013" w:csb1="00000000"/>
  </w:font>
  <w:font w:name="Tahoma">
    <w:panose1 w:val="020B0604030504040204"/>
    <w:charset w:val="EE"/>
    <w:family w:val="swiss"/>
    <w:pitch w:val="variable"/>
    <w:sig w:usb0="E1002AFF" w:usb1="C000605B" w:usb2="00000029" w:usb3="00000000" w:csb0="000101FF" w:csb1="00000000"/>
  </w:font>
  <w:font w:name="CenturyGothic">
    <w:altName w:val="Arial Unicode MS"/>
    <w:panose1 w:val="00000000000000000000"/>
    <w:charset w:val="80"/>
    <w:family w:val="auto"/>
    <w:notTrueType/>
    <w:pitch w:val="default"/>
    <w:sig w:usb0="00000007" w:usb1="08070000" w:usb2="00000010" w:usb3="00000000" w:csb0="0002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539188"/>
      <w:docPartObj>
        <w:docPartGallery w:val="Page Numbers (Bottom of Page)"/>
        <w:docPartUnique/>
      </w:docPartObj>
    </w:sdtPr>
    <w:sdtContent>
      <w:p w:rsidR="000D2EC3" w:rsidRDefault="003C498A">
        <w:pPr>
          <w:pStyle w:val="Stopka"/>
          <w:jc w:val="center"/>
        </w:pPr>
        <w:fldSimple w:instr=" PAGE   \* MERGEFORMAT ">
          <w:r w:rsidR="00A91A13">
            <w:rPr>
              <w:noProof/>
            </w:rPr>
            <w:t>16</w:t>
          </w:r>
        </w:fldSimple>
      </w:p>
    </w:sdtContent>
  </w:sdt>
  <w:p w:rsidR="000D2EC3" w:rsidRDefault="000D2EC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EC3" w:rsidRDefault="000D2EC3" w:rsidP="00CA6ADD">
      <w:pPr>
        <w:spacing w:after="0" w:line="240" w:lineRule="auto"/>
      </w:pPr>
      <w:r>
        <w:separator/>
      </w:r>
    </w:p>
  </w:footnote>
  <w:footnote w:type="continuationSeparator" w:id="0">
    <w:p w:rsidR="000D2EC3" w:rsidRDefault="000D2EC3" w:rsidP="00CA6A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C3" w:rsidRDefault="000D2EC3">
    <w:pPr>
      <w:pStyle w:val="Nagwek"/>
    </w:pPr>
    <w:r>
      <w:t xml:space="preserve">Załącznik nr 1 do Sprawozdania z działalności Black Lion NFI S.A. </w:t>
    </w:r>
  </w:p>
  <w:p w:rsidR="000D2EC3" w:rsidRDefault="000D2EC3">
    <w:pPr>
      <w:pStyle w:val="Nagwek"/>
    </w:pPr>
    <w:r>
      <w:t xml:space="preserve">w okresie 1 stycznia 2010 r. do 31 grudnia 2010 r.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7916"/>
    <w:multiLevelType w:val="hybridMultilevel"/>
    <w:tmpl w:val="850CB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EE3398"/>
    <w:multiLevelType w:val="hybridMultilevel"/>
    <w:tmpl w:val="97E474BE"/>
    <w:lvl w:ilvl="0" w:tplc="0D8E6B64">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nsid w:val="1D950E7C"/>
    <w:multiLevelType w:val="hybridMultilevel"/>
    <w:tmpl w:val="3C003204"/>
    <w:lvl w:ilvl="0" w:tplc="06B0ED1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D926A6E"/>
    <w:multiLevelType w:val="hybridMultilevel"/>
    <w:tmpl w:val="7A20971C"/>
    <w:lvl w:ilvl="0" w:tplc="0D8E6B64">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35566489"/>
    <w:multiLevelType w:val="hybridMultilevel"/>
    <w:tmpl w:val="B832C77E"/>
    <w:lvl w:ilvl="0" w:tplc="63C4F326">
      <w:start w:val="1"/>
      <w:numFmt w:val="lowerRoman"/>
      <w:lvlText w:val="%1)"/>
      <w:lvlJc w:val="left"/>
      <w:pPr>
        <w:ind w:left="1128" w:hanging="720"/>
      </w:pPr>
      <w:rPr>
        <w:rFonts w:hint="default"/>
      </w:r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5">
    <w:nsid w:val="4C9833E6"/>
    <w:multiLevelType w:val="hybridMultilevel"/>
    <w:tmpl w:val="7144A5D6"/>
    <w:lvl w:ilvl="0" w:tplc="8C98452E">
      <w:start w:val="1"/>
      <w:numFmt w:val="lowerLetter"/>
      <w:lvlText w:val="%1)"/>
      <w:lvlJc w:val="left"/>
      <w:pPr>
        <w:tabs>
          <w:tab w:val="num" w:pos="2148"/>
        </w:tabs>
        <w:ind w:left="2148"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6">
    <w:nsid w:val="531D3E5F"/>
    <w:multiLevelType w:val="hybridMultilevel"/>
    <w:tmpl w:val="1792B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32B36FD"/>
    <w:multiLevelType w:val="hybridMultilevel"/>
    <w:tmpl w:val="EDE6313C"/>
    <w:lvl w:ilvl="0" w:tplc="06B0ED1A">
      <w:start w:val="1"/>
      <w:numFmt w:val="decimal"/>
      <w:lvlText w:val="%1)"/>
      <w:lvlJc w:val="left"/>
      <w:pPr>
        <w:tabs>
          <w:tab w:val="num" w:pos="2856"/>
        </w:tabs>
        <w:ind w:left="2856" w:hanging="360"/>
      </w:pPr>
      <w:rPr>
        <w:rFonts w:hint="default"/>
      </w:rPr>
    </w:lvl>
    <w:lvl w:ilvl="1" w:tplc="139EF3D0">
      <w:start w:val="1"/>
      <w:numFmt w:val="lowerLetter"/>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abstractNum w:abstractNumId="8">
    <w:nsid w:val="6E770806"/>
    <w:multiLevelType w:val="hybridMultilevel"/>
    <w:tmpl w:val="DEF03AC2"/>
    <w:lvl w:ilvl="0" w:tplc="0415000F">
      <w:start w:val="1"/>
      <w:numFmt w:val="decimal"/>
      <w:lvlText w:val="%1."/>
      <w:lvlJc w:val="left"/>
      <w:pPr>
        <w:tabs>
          <w:tab w:val="num" w:pos="720"/>
        </w:tabs>
        <w:ind w:left="720" w:hanging="360"/>
      </w:pPr>
    </w:lvl>
    <w:lvl w:ilvl="1" w:tplc="8C98452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6F584BF6"/>
    <w:multiLevelType w:val="hybridMultilevel"/>
    <w:tmpl w:val="C932FE44"/>
    <w:lvl w:ilvl="0" w:tplc="3572D5F2">
      <w:start w:val="1"/>
      <w:numFmt w:val="bullet"/>
      <w:lvlText w:val=""/>
      <w:lvlJc w:val="left"/>
      <w:pPr>
        <w:tabs>
          <w:tab w:val="num" w:pos="360"/>
        </w:tabs>
        <w:ind w:left="360" w:hanging="360"/>
      </w:pPr>
      <w:rPr>
        <w:rFonts w:ascii="Wingdings" w:hAnsi="Wingding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73903DE0"/>
    <w:multiLevelType w:val="hybridMultilevel"/>
    <w:tmpl w:val="FBFA6B1E"/>
    <w:lvl w:ilvl="0" w:tplc="8C98452E">
      <w:start w:val="1"/>
      <w:numFmt w:val="lowerLetter"/>
      <w:lvlText w:val="%1)"/>
      <w:lvlJc w:val="left"/>
      <w:pPr>
        <w:tabs>
          <w:tab w:val="num" w:pos="2856"/>
        </w:tabs>
        <w:ind w:left="2856" w:hanging="360"/>
      </w:pPr>
      <w:rPr>
        <w:rFonts w:hint="default"/>
      </w:rPr>
    </w:lvl>
    <w:lvl w:ilvl="1" w:tplc="04150019" w:tentative="1">
      <w:start w:val="1"/>
      <w:numFmt w:val="lowerLetter"/>
      <w:lvlText w:val="%2."/>
      <w:lvlJc w:val="left"/>
      <w:pPr>
        <w:tabs>
          <w:tab w:val="num" w:pos="2856"/>
        </w:tabs>
        <w:ind w:left="2856" w:hanging="360"/>
      </w:pPr>
    </w:lvl>
    <w:lvl w:ilvl="2" w:tplc="0415001B" w:tentative="1">
      <w:start w:val="1"/>
      <w:numFmt w:val="lowerRoman"/>
      <w:lvlText w:val="%3."/>
      <w:lvlJc w:val="right"/>
      <w:pPr>
        <w:tabs>
          <w:tab w:val="num" w:pos="3576"/>
        </w:tabs>
        <w:ind w:left="3576" w:hanging="180"/>
      </w:pPr>
    </w:lvl>
    <w:lvl w:ilvl="3" w:tplc="0415000F" w:tentative="1">
      <w:start w:val="1"/>
      <w:numFmt w:val="decimal"/>
      <w:lvlText w:val="%4."/>
      <w:lvlJc w:val="left"/>
      <w:pPr>
        <w:tabs>
          <w:tab w:val="num" w:pos="4296"/>
        </w:tabs>
        <w:ind w:left="4296" w:hanging="360"/>
      </w:pPr>
    </w:lvl>
    <w:lvl w:ilvl="4" w:tplc="04150019" w:tentative="1">
      <w:start w:val="1"/>
      <w:numFmt w:val="lowerLetter"/>
      <w:lvlText w:val="%5."/>
      <w:lvlJc w:val="left"/>
      <w:pPr>
        <w:tabs>
          <w:tab w:val="num" w:pos="5016"/>
        </w:tabs>
        <w:ind w:left="5016" w:hanging="360"/>
      </w:pPr>
    </w:lvl>
    <w:lvl w:ilvl="5" w:tplc="0415001B" w:tentative="1">
      <w:start w:val="1"/>
      <w:numFmt w:val="lowerRoman"/>
      <w:lvlText w:val="%6."/>
      <w:lvlJc w:val="right"/>
      <w:pPr>
        <w:tabs>
          <w:tab w:val="num" w:pos="5736"/>
        </w:tabs>
        <w:ind w:left="5736" w:hanging="180"/>
      </w:pPr>
    </w:lvl>
    <w:lvl w:ilvl="6" w:tplc="0415000F" w:tentative="1">
      <w:start w:val="1"/>
      <w:numFmt w:val="decimal"/>
      <w:lvlText w:val="%7."/>
      <w:lvlJc w:val="left"/>
      <w:pPr>
        <w:tabs>
          <w:tab w:val="num" w:pos="6456"/>
        </w:tabs>
        <w:ind w:left="6456" w:hanging="360"/>
      </w:pPr>
    </w:lvl>
    <w:lvl w:ilvl="7" w:tplc="04150019" w:tentative="1">
      <w:start w:val="1"/>
      <w:numFmt w:val="lowerLetter"/>
      <w:lvlText w:val="%8."/>
      <w:lvlJc w:val="left"/>
      <w:pPr>
        <w:tabs>
          <w:tab w:val="num" w:pos="7176"/>
        </w:tabs>
        <w:ind w:left="7176" w:hanging="360"/>
      </w:pPr>
    </w:lvl>
    <w:lvl w:ilvl="8" w:tplc="0415001B" w:tentative="1">
      <w:start w:val="1"/>
      <w:numFmt w:val="lowerRoman"/>
      <w:lvlText w:val="%9."/>
      <w:lvlJc w:val="right"/>
      <w:pPr>
        <w:tabs>
          <w:tab w:val="num" w:pos="7896"/>
        </w:tabs>
        <w:ind w:left="7896" w:hanging="180"/>
      </w:pPr>
    </w:lvl>
  </w:abstractNum>
  <w:num w:numId="1">
    <w:abstractNumId w:val="6"/>
  </w:num>
  <w:num w:numId="2">
    <w:abstractNumId w:val="9"/>
  </w:num>
  <w:num w:numId="3">
    <w:abstractNumId w:val="4"/>
  </w:num>
  <w:num w:numId="4">
    <w:abstractNumId w:val="8"/>
  </w:num>
  <w:num w:numId="5">
    <w:abstractNumId w:val="10"/>
  </w:num>
  <w:num w:numId="6">
    <w:abstractNumId w:val="7"/>
  </w:num>
  <w:num w:numId="7">
    <w:abstractNumId w:val="5"/>
  </w:num>
  <w:num w:numId="8">
    <w:abstractNumId w:val="1"/>
  </w:num>
  <w:num w:numId="9">
    <w:abstractNumId w:val="3"/>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defaultTabStop w:val="708"/>
  <w:hyphenationZone w:val="425"/>
  <w:characterSpacingControl w:val="doNotCompress"/>
  <w:footnotePr>
    <w:footnote w:id="-1"/>
    <w:footnote w:id="0"/>
  </w:footnotePr>
  <w:endnotePr>
    <w:endnote w:id="-1"/>
    <w:endnote w:id="0"/>
  </w:endnotePr>
  <w:compat/>
  <w:rsids>
    <w:rsidRoot w:val="009A6D88"/>
    <w:rsid w:val="00003B7A"/>
    <w:rsid w:val="00004806"/>
    <w:rsid w:val="00037C56"/>
    <w:rsid w:val="000700D5"/>
    <w:rsid w:val="000A4AC9"/>
    <w:rsid w:val="000D2EC3"/>
    <w:rsid w:val="001221B5"/>
    <w:rsid w:val="0015502B"/>
    <w:rsid w:val="001609FE"/>
    <w:rsid w:val="00162C38"/>
    <w:rsid w:val="0018482F"/>
    <w:rsid w:val="001C6C45"/>
    <w:rsid w:val="001F35F6"/>
    <w:rsid w:val="002072E3"/>
    <w:rsid w:val="00257450"/>
    <w:rsid w:val="0028199F"/>
    <w:rsid w:val="00282437"/>
    <w:rsid w:val="00294B2B"/>
    <w:rsid w:val="002A0669"/>
    <w:rsid w:val="002F0B74"/>
    <w:rsid w:val="00340132"/>
    <w:rsid w:val="0035187E"/>
    <w:rsid w:val="00353440"/>
    <w:rsid w:val="00357B11"/>
    <w:rsid w:val="003973B3"/>
    <w:rsid w:val="003A0FCD"/>
    <w:rsid w:val="003B02D9"/>
    <w:rsid w:val="003C498A"/>
    <w:rsid w:val="00411CE1"/>
    <w:rsid w:val="00425729"/>
    <w:rsid w:val="00425753"/>
    <w:rsid w:val="00433787"/>
    <w:rsid w:val="00435654"/>
    <w:rsid w:val="00467EE1"/>
    <w:rsid w:val="00481747"/>
    <w:rsid w:val="00492101"/>
    <w:rsid w:val="004E343D"/>
    <w:rsid w:val="005E19B9"/>
    <w:rsid w:val="006361E3"/>
    <w:rsid w:val="00642FE2"/>
    <w:rsid w:val="00696CD7"/>
    <w:rsid w:val="006A0E02"/>
    <w:rsid w:val="0076290C"/>
    <w:rsid w:val="007749E7"/>
    <w:rsid w:val="008541FB"/>
    <w:rsid w:val="008A72C5"/>
    <w:rsid w:val="008C6EDC"/>
    <w:rsid w:val="008F3AD0"/>
    <w:rsid w:val="0096542C"/>
    <w:rsid w:val="009A6D88"/>
    <w:rsid w:val="009C0FBC"/>
    <w:rsid w:val="009D1A39"/>
    <w:rsid w:val="00A11744"/>
    <w:rsid w:val="00A53FF3"/>
    <w:rsid w:val="00A91A13"/>
    <w:rsid w:val="00AA1016"/>
    <w:rsid w:val="00AC1FB0"/>
    <w:rsid w:val="00B30590"/>
    <w:rsid w:val="00B42FE9"/>
    <w:rsid w:val="00B52F70"/>
    <w:rsid w:val="00B93CF2"/>
    <w:rsid w:val="00B9789E"/>
    <w:rsid w:val="00B97ED8"/>
    <w:rsid w:val="00BC359C"/>
    <w:rsid w:val="00BD7168"/>
    <w:rsid w:val="00BF796F"/>
    <w:rsid w:val="00C01459"/>
    <w:rsid w:val="00C12DBE"/>
    <w:rsid w:val="00C41E6C"/>
    <w:rsid w:val="00C509D1"/>
    <w:rsid w:val="00C601B9"/>
    <w:rsid w:val="00C70B38"/>
    <w:rsid w:val="00CA6ADD"/>
    <w:rsid w:val="00CB6417"/>
    <w:rsid w:val="00CD1959"/>
    <w:rsid w:val="00CE7EE5"/>
    <w:rsid w:val="00CF4112"/>
    <w:rsid w:val="00D162FD"/>
    <w:rsid w:val="00D71C02"/>
    <w:rsid w:val="00DF4AF1"/>
    <w:rsid w:val="00E13A3F"/>
    <w:rsid w:val="00E6606E"/>
    <w:rsid w:val="00EA17D1"/>
    <w:rsid w:val="00EE4CE9"/>
    <w:rsid w:val="00F71E4D"/>
    <w:rsid w:val="00FC31E8"/>
    <w:rsid w:val="00FD23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0590"/>
  </w:style>
  <w:style w:type="paragraph" w:styleId="Nagwek4">
    <w:name w:val="heading 4"/>
    <w:basedOn w:val="Normalny"/>
    <w:next w:val="Normalny"/>
    <w:link w:val="Nagwek4Znak"/>
    <w:uiPriority w:val="9"/>
    <w:semiHidden/>
    <w:unhideWhenUsed/>
    <w:qFormat/>
    <w:rsid w:val="00435654"/>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B97ED8"/>
    <w:pPr>
      <w:keepNext/>
      <w:spacing w:after="0" w:line="360" w:lineRule="auto"/>
      <w:jc w:val="both"/>
      <w:outlineLvl w:val="4"/>
    </w:pPr>
    <w:rPr>
      <w:rFonts w:ascii="Times New Roman" w:eastAsia="Times New Roman" w:hAnsi="Times New Roman" w:cs="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A6AD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A6ADD"/>
  </w:style>
  <w:style w:type="paragraph" w:styleId="Stopka">
    <w:name w:val="footer"/>
    <w:basedOn w:val="Normalny"/>
    <w:link w:val="StopkaZnak"/>
    <w:uiPriority w:val="99"/>
    <w:unhideWhenUsed/>
    <w:rsid w:val="00CA6A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A6ADD"/>
  </w:style>
  <w:style w:type="paragraph" w:styleId="Akapitzlist">
    <w:name w:val="List Paragraph"/>
    <w:basedOn w:val="Normalny"/>
    <w:uiPriority w:val="34"/>
    <w:qFormat/>
    <w:rsid w:val="00C601B9"/>
    <w:pPr>
      <w:ind w:left="720"/>
      <w:contextualSpacing/>
    </w:pPr>
  </w:style>
  <w:style w:type="paragraph" w:styleId="NormalnyWeb">
    <w:name w:val="Normal (Web)"/>
    <w:basedOn w:val="Normalny"/>
    <w:rsid w:val="00BC35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BC359C"/>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5Znak">
    <w:name w:val="Nagłówek 5 Znak"/>
    <w:basedOn w:val="Domylnaczcionkaakapitu"/>
    <w:link w:val="Nagwek5"/>
    <w:rsid w:val="00B97ED8"/>
    <w:rPr>
      <w:rFonts w:ascii="Times New Roman" w:eastAsia="Times New Roman" w:hAnsi="Times New Roman" w:cs="Times New Roman"/>
      <w:i/>
      <w:iCs/>
    </w:rPr>
  </w:style>
  <w:style w:type="paragraph" w:styleId="Tekstpodstawowy">
    <w:name w:val="Body Text"/>
    <w:aliases w:val="b"/>
    <w:basedOn w:val="Normalny"/>
    <w:link w:val="TekstpodstawowyZnak"/>
    <w:rsid w:val="00B97ED8"/>
    <w:pPr>
      <w:spacing w:after="0" w:line="240" w:lineRule="auto"/>
    </w:pPr>
    <w:rPr>
      <w:rFonts w:ascii="Tms Rmn PL" w:eastAsia="Times New Roman" w:hAnsi="Tms Rmn PL" w:cs="Tms Rmn PL"/>
      <w:color w:val="FF0000"/>
      <w:sz w:val="20"/>
      <w:szCs w:val="20"/>
    </w:rPr>
  </w:style>
  <w:style w:type="character" w:customStyle="1" w:styleId="TekstpodstawowyZnak">
    <w:name w:val="Tekst podstawowy Znak"/>
    <w:aliases w:val="b Znak"/>
    <w:basedOn w:val="Domylnaczcionkaakapitu"/>
    <w:link w:val="Tekstpodstawowy"/>
    <w:rsid w:val="00B97ED8"/>
    <w:rPr>
      <w:rFonts w:ascii="Tms Rmn PL" w:eastAsia="Times New Roman" w:hAnsi="Tms Rmn PL" w:cs="Tms Rmn PL"/>
      <w:color w:val="FF0000"/>
      <w:sz w:val="20"/>
      <w:szCs w:val="20"/>
    </w:rPr>
  </w:style>
  <w:style w:type="paragraph" w:customStyle="1" w:styleId="Tabela">
    <w:name w:val="Tabela"/>
    <w:basedOn w:val="Normalny"/>
    <w:rsid w:val="00B97ED8"/>
    <w:pPr>
      <w:spacing w:before="60" w:after="60" w:line="240" w:lineRule="auto"/>
      <w:jc w:val="right"/>
    </w:pPr>
    <w:rPr>
      <w:rFonts w:ascii="Arial" w:eastAsia="Times New Roman" w:hAnsi="Arial" w:cs="Times New Roman"/>
      <w:sz w:val="16"/>
      <w:szCs w:val="20"/>
      <w:lang w:eastAsia="pl-PL"/>
    </w:rPr>
  </w:style>
  <w:style w:type="paragraph" w:customStyle="1" w:styleId="Zrdo">
    <w:name w:val="Zródło"/>
    <w:basedOn w:val="Normalny"/>
    <w:rsid w:val="00B97ED8"/>
    <w:pPr>
      <w:spacing w:after="120" w:line="240" w:lineRule="auto"/>
      <w:jc w:val="both"/>
    </w:pPr>
    <w:rPr>
      <w:rFonts w:ascii="Arial" w:eastAsia="Times New Roman" w:hAnsi="Arial" w:cs="Times New Roman"/>
      <w:i/>
      <w:sz w:val="16"/>
      <w:szCs w:val="20"/>
      <w:lang w:eastAsia="pl-PL"/>
    </w:rPr>
  </w:style>
  <w:style w:type="paragraph" w:styleId="Podpis">
    <w:name w:val="Signature"/>
    <w:basedOn w:val="Normalny"/>
    <w:link w:val="PodpisZnak"/>
    <w:rsid w:val="00B97ED8"/>
    <w:pPr>
      <w:keepNext/>
      <w:spacing w:before="120" w:after="0" w:line="240" w:lineRule="auto"/>
      <w:jc w:val="both"/>
    </w:pPr>
    <w:rPr>
      <w:rFonts w:ascii="Arial" w:eastAsia="Times New Roman" w:hAnsi="Arial" w:cs="Times New Roman"/>
      <w:b/>
      <w:sz w:val="16"/>
      <w:szCs w:val="24"/>
      <w:lang w:eastAsia="pl-PL"/>
    </w:rPr>
  </w:style>
  <w:style w:type="character" w:customStyle="1" w:styleId="PodpisZnak">
    <w:name w:val="Podpis Znak"/>
    <w:basedOn w:val="Domylnaczcionkaakapitu"/>
    <w:link w:val="Podpis"/>
    <w:rsid w:val="00B97ED8"/>
    <w:rPr>
      <w:rFonts w:ascii="Arial" w:eastAsia="Times New Roman" w:hAnsi="Arial" w:cs="Times New Roman"/>
      <w:b/>
      <w:sz w:val="16"/>
      <w:szCs w:val="24"/>
      <w:lang w:eastAsia="pl-PL"/>
    </w:rPr>
  </w:style>
  <w:style w:type="paragraph" w:styleId="Tekstkomentarza">
    <w:name w:val="annotation text"/>
    <w:basedOn w:val="Normalny"/>
    <w:link w:val="TekstkomentarzaZnak"/>
    <w:semiHidden/>
    <w:rsid w:val="003973B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3973B3"/>
    <w:rPr>
      <w:rFonts w:ascii="Times New Roman" w:eastAsia="Times New Roman" w:hAnsi="Times New Roman" w:cs="Times New Roman"/>
      <w:sz w:val="20"/>
      <w:szCs w:val="20"/>
      <w:lang w:eastAsia="pl-PL"/>
    </w:rPr>
  </w:style>
  <w:style w:type="character" w:styleId="Odwoaniedokomentarza">
    <w:name w:val="annotation reference"/>
    <w:basedOn w:val="Domylnaczcionkaakapitu"/>
    <w:semiHidden/>
    <w:rsid w:val="003973B3"/>
    <w:rPr>
      <w:sz w:val="16"/>
      <w:szCs w:val="16"/>
    </w:rPr>
  </w:style>
  <w:style w:type="paragraph" w:styleId="Tekstdymka">
    <w:name w:val="Balloon Text"/>
    <w:basedOn w:val="Normalny"/>
    <w:link w:val="TekstdymkaZnak"/>
    <w:uiPriority w:val="99"/>
    <w:semiHidden/>
    <w:unhideWhenUsed/>
    <w:rsid w:val="003973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73B3"/>
    <w:rPr>
      <w:rFonts w:ascii="Tahoma" w:hAnsi="Tahoma" w:cs="Tahoma"/>
      <w:sz w:val="16"/>
      <w:szCs w:val="16"/>
    </w:rPr>
  </w:style>
  <w:style w:type="character" w:customStyle="1" w:styleId="Nagwek4Znak">
    <w:name w:val="Nagłówek 4 Znak"/>
    <w:basedOn w:val="Domylnaczcionkaakapitu"/>
    <w:link w:val="Nagwek4"/>
    <w:uiPriority w:val="9"/>
    <w:semiHidden/>
    <w:rsid w:val="00435654"/>
    <w:rPr>
      <w:rFonts w:asciiTheme="majorHAnsi" w:eastAsiaTheme="majorEastAsia" w:hAnsiTheme="majorHAnsi" w:cstheme="majorBidi"/>
      <w:b/>
      <w:bCs/>
      <w:i/>
      <w:iCs/>
      <w:color w:val="4F81BD" w:themeColor="accent1"/>
    </w:rPr>
  </w:style>
  <w:style w:type="character" w:customStyle="1" w:styleId="paragraphwciecie">
    <w:name w:val="paragraphwciecie"/>
    <w:basedOn w:val="Domylnaczcionkaakapitu"/>
    <w:rsid w:val="00435654"/>
  </w:style>
  <w:style w:type="paragraph" w:customStyle="1" w:styleId="Listawypunktowanatekst">
    <w:name w:val="Lista wypunktowana tekst"/>
    <w:basedOn w:val="Listapunktowana"/>
    <w:rsid w:val="00CE7EE5"/>
    <w:pPr>
      <w:tabs>
        <w:tab w:val="clear" w:pos="720"/>
      </w:tabs>
      <w:autoSpaceDE w:val="0"/>
      <w:autoSpaceDN w:val="0"/>
      <w:spacing w:before="120" w:after="0" w:line="360" w:lineRule="auto"/>
      <w:ind w:left="0" w:firstLine="0"/>
      <w:contextualSpacing w:val="0"/>
      <w:jc w:val="both"/>
    </w:pPr>
    <w:rPr>
      <w:rFonts w:ascii="Arial" w:eastAsia="Times New Roman" w:hAnsi="Arial" w:cs="Arial"/>
    </w:rPr>
  </w:style>
  <w:style w:type="paragraph" w:customStyle="1" w:styleId="StylTekstpodstawowyWyjustowany">
    <w:name w:val="Styl Tekst podstawowy + Wyjustowany"/>
    <w:basedOn w:val="Tekstpodstawowy"/>
    <w:rsid w:val="00CE7EE5"/>
    <w:pPr>
      <w:tabs>
        <w:tab w:val="left" w:pos="-567"/>
      </w:tabs>
      <w:spacing w:line="232" w:lineRule="auto"/>
      <w:jc w:val="both"/>
    </w:pPr>
    <w:rPr>
      <w:rFonts w:ascii="Times New Roman" w:hAnsi="Times New Roman" w:cs="Times New Roman"/>
      <w:color w:val="auto"/>
      <w:sz w:val="22"/>
      <w:szCs w:val="22"/>
      <w:lang w:eastAsia="pl-PL"/>
    </w:rPr>
  </w:style>
  <w:style w:type="paragraph" w:styleId="Listapunktowana">
    <w:name w:val="List Bullet"/>
    <w:basedOn w:val="Normalny"/>
    <w:uiPriority w:val="99"/>
    <w:semiHidden/>
    <w:unhideWhenUsed/>
    <w:rsid w:val="00CE7EE5"/>
    <w:pPr>
      <w:tabs>
        <w:tab w:val="num" w:pos="720"/>
      </w:tabs>
      <w:ind w:left="720" w:hanging="360"/>
      <w:contextualSpacing/>
    </w:pPr>
  </w:style>
</w:styles>
</file>

<file path=word/webSettings.xml><?xml version="1.0" encoding="utf-8"?>
<w:webSettings xmlns:r="http://schemas.openxmlformats.org/officeDocument/2006/relationships" xmlns:w="http://schemas.openxmlformats.org/wordprocessingml/2006/main">
  <w:divs>
    <w:div w:id="9480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72D8C-A824-452D-8335-7DB1F7EB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6531</Words>
  <Characters>39191</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AMEF</Company>
  <LinksUpToDate>false</LinksUpToDate>
  <CharactersWithSpaces>45631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mariusz.baginski</dc:creator>
  <cp:lastModifiedBy>elzbieta.rosinska</cp:lastModifiedBy>
  <cp:revision>2</cp:revision>
  <dcterms:created xsi:type="dcterms:W3CDTF">2011-03-21T16:21:00Z</dcterms:created>
  <dcterms:modified xsi:type="dcterms:W3CDTF">2011-03-21T16:21:00Z</dcterms:modified>
</cp:coreProperties>
</file>